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271" w:type="dxa"/>
        <w:tblLayout w:type="fixed"/>
        <w:tblLook w:val="01E0" w:firstRow="1" w:lastRow="1" w:firstColumn="1" w:lastColumn="1" w:noHBand="0" w:noVBand="0"/>
      </w:tblPr>
      <w:tblGrid>
        <w:gridCol w:w="2264"/>
        <w:gridCol w:w="1245"/>
        <w:gridCol w:w="3114"/>
        <w:gridCol w:w="1473"/>
        <w:gridCol w:w="43"/>
        <w:gridCol w:w="1132"/>
      </w:tblGrid>
      <w:tr w:rsidR="00E04285">
        <w:trPr>
          <w:trHeight w:val="680"/>
        </w:trPr>
        <w:tc>
          <w:tcPr>
            <w:tcW w:w="927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к отчету об исполнении консолидированного бюджета</w:t>
            </w:r>
          </w:p>
        </w:tc>
      </w:tr>
      <w:tr w:rsidR="00E04285">
        <w:trPr>
          <w:trHeight w:val="1"/>
        </w:trPr>
        <w:tc>
          <w:tcPr>
            <w:tcW w:w="927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</w:tr>
      <w:tr w:rsidR="00E04285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4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КОДЫ</w:t>
            </w:r>
          </w:p>
        </w:tc>
      </w:tr>
      <w:tr w:rsidR="00E04285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Форма по ОКУД</w:t>
            </w:r>
          </w:p>
        </w:tc>
        <w:tc>
          <w:tcPr>
            <w:tcW w:w="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4285" w:rsidRDefault="00A937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0503360</w:t>
            </w:r>
          </w:p>
        </w:tc>
      </w:tr>
      <w:tr w:rsidR="00E04285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6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63"/>
            </w:tblGrid>
            <w:tr w:rsidR="00E04285">
              <w:trPr>
                <w:jc w:val="center"/>
              </w:trPr>
              <w:tc>
                <w:tcPr>
                  <w:tcW w:w="43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center"/>
                  </w:pPr>
                  <w:r>
                    <w:rPr>
                      <w:color w:val="000000"/>
                    </w:rPr>
                    <w:t>на 1 января 2020 г.</w:t>
                  </w: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  <w:tc>
          <w:tcPr>
            <w:tcW w:w="1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4285" w:rsidRDefault="00A937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01.01.2020</w:t>
            </w:r>
          </w:p>
        </w:tc>
      </w:tr>
      <w:tr w:rsidR="00E04285">
        <w:trPr>
          <w:trHeight w:val="226"/>
        </w:trPr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ОКПО</w:t>
            </w:r>
          </w:p>
        </w:tc>
        <w:tc>
          <w:tcPr>
            <w:tcW w:w="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4285" w:rsidRDefault="00A937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75052859</w:t>
            </w:r>
          </w:p>
        </w:tc>
      </w:tr>
      <w:tr w:rsidR="00E04285">
        <w:tc>
          <w:tcPr>
            <w:tcW w:w="351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финансового органа</w:t>
            </w:r>
          </w:p>
        </w:tc>
        <w:tc>
          <w:tcPr>
            <w:tcW w:w="311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Финансовое управление администрации Шпаковского муниципального района Ставропольского края</w:t>
            </w:r>
          </w:p>
        </w:tc>
        <w:tc>
          <w:tcPr>
            <w:tcW w:w="1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Глава по БК</w:t>
            </w:r>
          </w:p>
        </w:tc>
        <w:tc>
          <w:tcPr>
            <w:tcW w:w="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A937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</w:t>
            </w:r>
          </w:p>
        </w:tc>
      </w:tr>
      <w:tr w:rsidR="00E04285">
        <w:tc>
          <w:tcPr>
            <w:tcW w:w="351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бюджета</w:t>
            </w:r>
          </w:p>
        </w:tc>
        <w:tc>
          <w:tcPr>
            <w:tcW w:w="311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Консолидированный бюджет Шпаковский муниципальный район</w:t>
            </w:r>
          </w:p>
        </w:tc>
        <w:tc>
          <w:tcPr>
            <w:tcW w:w="1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ОКТМО</w:t>
            </w:r>
          </w:p>
        </w:tc>
        <w:tc>
          <w:tcPr>
            <w:tcW w:w="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11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33"/>
            </w:tblGrid>
            <w:tr w:rsidR="00E04285">
              <w:trPr>
                <w:jc w:val="center"/>
              </w:trPr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center"/>
                  </w:pPr>
                  <w:r>
                    <w:rPr>
                      <w:color w:val="000000"/>
                    </w:rPr>
                    <w:t>07658000</w:t>
                  </w: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</w:tr>
      <w:tr w:rsidR="00E04285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>Периодичность:</w:t>
            </w: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>месячная</w:t>
            </w:r>
          </w:p>
        </w:tc>
        <w:tc>
          <w:tcPr>
            <w:tcW w:w="1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  <w:jc w:val="center"/>
            </w:pPr>
          </w:p>
        </w:tc>
      </w:tr>
      <w:tr w:rsidR="00E04285">
        <w:tc>
          <w:tcPr>
            <w:tcW w:w="2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>Единица измерения:</w:t>
            </w:r>
          </w:p>
        </w:tc>
        <w:tc>
          <w:tcPr>
            <w:tcW w:w="436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>руб.</w:t>
            </w:r>
          </w:p>
        </w:tc>
        <w:tc>
          <w:tcPr>
            <w:tcW w:w="1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 ОКЕИ</w:t>
            </w:r>
          </w:p>
        </w:tc>
        <w:tc>
          <w:tcPr>
            <w:tcW w:w="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4285" w:rsidRDefault="00A937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</w:tr>
      <w:tr w:rsidR="00E04285">
        <w:trPr>
          <w:trHeight w:val="566"/>
        </w:trPr>
        <w:tc>
          <w:tcPr>
            <w:tcW w:w="927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rPr>
                <w:color w:val="000000"/>
              </w:rPr>
            </w:pPr>
          </w:p>
        </w:tc>
      </w:tr>
    </w:tbl>
    <w:p w:rsidR="00E04285" w:rsidRDefault="00E04285">
      <w:pPr>
        <w:rPr>
          <w:vanish/>
        </w:rPr>
      </w:pPr>
      <w:bookmarkStart w:id="1" w:name="__bookmark_2"/>
      <w:bookmarkEnd w:id="1"/>
    </w:p>
    <w:tbl>
      <w:tblPr>
        <w:tblOverlap w:val="never"/>
        <w:tblW w:w="10001" w:type="dxa"/>
        <w:tblLayout w:type="fixed"/>
        <w:tblLook w:val="01E0" w:firstRow="1" w:lastRow="1" w:firstColumn="1" w:lastColumn="1" w:noHBand="0" w:noVBand="0"/>
      </w:tblPr>
      <w:tblGrid>
        <w:gridCol w:w="10001"/>
      </w:tblGrid>
      <w:tr w:rsidR="00E04285">
        <w:tc>
          <w:tcPr>
            <w:tcW w:w="10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  <w:jc w:val="center"/>
            </w:pPr>
          </w:p>
        </w:tc>
      </w:tr>
      <w:tr w:rsidR="00E04285">
        <w:tc>
          <w:tcPr>
            <w:tcW w:w="10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0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01"/>
            </w:tblGrid>
            <w:tr w:rsidR="00E04285">
              <w:tc>
                <w:tcPr>
                  <w:tcW w:w="100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E04285">
                  <w:pPr>
                    <w:spacing w:line="1" w:lineRule="auto"/>
                    <w:jc w:val="both"/>
                  </w:pPr>
                </w:p>
              </w:tc>
            </w:tr>
          </w:tbl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E04285">
        <w:tc>
          <w:tcPr>
            <w:tcW w:w="10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0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01"/>
            </w:tblGrid>
            <w:tr w:rsidR="00E04285">
              <w:tc>
                <w:tcPr>
                  <w:tcW w:w="100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Полное наименование: Финансовое управление администрации Шпаковского муниципального района Ставропольского края.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Юридический (фактический) адрес: 356240, Ставропольский край, Шпаковский район, г. Михайловск, ул. Гагарина, 380.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Финансовое управление администрации Шпаковского муниципального района Ставропольского края (далее – финансовое управление) создано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на основании решения Совета Шпаковского муниципального района Ставропольского края от 22.04.2016 № 370 и является структурным подразделением администрации Шпаковского муниципального района Ставропольского края со статусом юридического лица.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Финансов</w:t>
                  </w:r>
                  <w:r>
                    <w:rPr>
                      <w:color w:val="000000"/>
                      <w:sz w:val="28"/>
                      <w:szCs w:val="28"/>
                    </w:rPr>
                    <w:t>ое управление, являясь финансовым органом Шпаковского муниципального района, а также финансовым органом, уполномоченным на формирование бюджетной отчетности об исполнении консолидированного бюджета Шпаковского района, в соответствии с Бюджетным кодексом Ро</w:t>
                  </w:r>
                  <w:r>
                    <w:rPr>
                      <w:color w:val="000000"/>
                      <w:sz w:val="28"/>
                      <w:szCs w:val="28"/>
                    </w:rPr>
                    <w:t>ссийской Федерации, Положением о финансовом управлении администрации Шпаковского муниципального района Ставропольского края, Положением о бюджетном процессе в Шпаковском муниципальном районе Ставропольского края, Соглашениями о передачи отдельных бюджетных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полномочий, заключенными с органами местного самоуправления поселений, обеспечивает проведение единой финансовой и бюджетной политики на территории Шпаковского муниципального района, осуществляет исполнение бюджета Шпаковского муниципального района и коор</w:t>
                  </w:r>
                  <w:r>
                    <w:rPr>
                      <w:color w:val="000000"/>
                      <w:sz w:val="28"/>
                      <w:szCs w:val="28"/>
                    </w:rPr>
                    <w:t>динирует деятельность в этой сфере иных органов местного самоуправления муниципального района в пределах своей компетенции, а также осуществляет на территории муниципального района внутренний муниципальный финансовый контроль.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Бюджетная отчетность за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2019 год составлена финансовым управлением 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информационно – аналитической системе «WEB – Консолидация» (разработчик НПО «КРИСТА») путем суммирования показателей бюджетной отчетности, представленной финансовыми органами муниципального района поселений, гл</w:t>
                  </w:r>
                  <w:r>
                    <w:rPr>
                      <w:color w:val="000000"/>
                      <w:sz w:val="28"/>
                      <w:szCs w:val="28"/>
                    </w:rPr>
                    <w:t>авными администраторами доходов бюджета Шпаковского муниципального района Ставропольского края, главными администраторами источников финансирования дефицита бюджета Шпаковского муниципального района Ставропольского края, главными распорядителями средств бю</w:t>
                  </w:r>
                  <w:r>
                    <w:rPr>
                      <w:color w:val="000000"/>
                      <w:sz w:val="28"/>
                      <w:szCs w:val="28"/>
                    </w:rPr>
                    <w:t>джета Шпаковского муниципального района Ставропольского края в соответствии с требованиями Инструкции о порядке составления и представления, квартальной и месячной бюджетной отчетности об исполнении бюджетов бюджетной системы Российской Федерации, утвержде</w:t>
                  </w:r>
                  <w:r>
                    <w:rPr>
                      <w:color w:val="000000"/>
                      <w:sz w:val="28"/>
                      <w:szCs w:val="28"/>
                    </w:rPr>
                    <w:t>нной приказом Министерства финансов Российской Федерации от 28.12.2010 № 191н (далее – Инструкция № 191н), приказа министерства финансов Ставропольского края от 30.12.2019 № 406 «О сроках представления годовой бюджетной отчетности и сводной годовой бухгалт</w:t>
                  </w:r>
                  <w:r>
                    <w:rPr>
                      <w:color w:val="000000"/>
                      <w:sz w:val="28"/>
                      <w:szCs w:val="28"/>
                    </w:rPr>
                    <w:t>ерской отчетности за 2019 год, месячной, квартальной бюджетной и сводной бухгалтерской отчетности в 2020 году», письма министерства финансов Ставропольского края от 20.01.2020 № 06-01-25-41/317 «Об особенностях составления и представления годовой отчетност</w:t>
                  </w:r>
                  <w:r>
                    <w:rPr>
                      <w:color w:val="000000"/>
                      <w:sz w:val="28"/>
                      <w:szCs w:val="28"/>
                    </w:rPr>
                    <w:t>и за 2019 год» и представлена в министерство финансов Ставропольского края в электронном виде с использованием усиленной квалифицированной электронной подписи.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Бухгалтерский учет имущества, обязательств и хозяйственных операций в муниципальных учрежд</w:t>
                  </w:r>
                  <w:r>
                    <w:rPr>
                      <w:color w:val="000000"/>
                      <w:sz w:val="28"/>
                      <w:szCs w:val="28"/>
                    </w:rPr>
                    <w:t>ениях ведется в валюте Российской Федерации на основе натуральных показателей в денежном выражении путем сплошного, непрерывного, документального и взаимного их отражения в соответствии с Единым планом счетов бухгалтерского учета для органов государственно</w:t>
                  </w:r>
                  <w:r>
                    <w:rPr>
                      <w:color w:val="000000"/>
                      <w:sz w:val="28"/>
                      <w:szCs w:val="28"/>
                    </w:rPr>
                    <w:t>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Инструкцией по его применению, утвержденными приказом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Министерства финансов Российской Федерации от 01.12.2010 №157н, планом счетов бюджетного учета и Инструкцией по его применению, утвержденными приказом Министерства финансов Российской Федерации от 06.12.2010 №162н, приказом Министерства финансов Российско</w:t>
                  </w:r>
                  <w:r>
                    <w:rPr>
                      <w:color w:val="000000"/>
                      <w:sz w:val="28"/>
                      <w:szCs w:val="28"/>
                    </w:rPr>
                    <w:t>й Федерации от 31.12.2016 №256н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приказом Министерства финан</w:t>
                  </w:r>
                  <w:r>
                    <w:rPr>
                      <w:color w:val="000000"/>
                      <w:sz w:val="28"/>
                      <w:szCs w:val="28"/>
                    </w:rPr>
                    <w:t>сов Российской Федерации от 31.12.2016 №257н «Об утверждении федерального стандарта бухгалтерского учета для организаций государственного сектора «Основные средства», приказом Министерства финансов Российской Федерации от 31.12.2016 №258н «Об утверждении ф</w:t>
                  </w:r>
                  <w:r>
                    <w:rPr>
                      <w:color w:val="000000"/>
                      <w:sz w:val="28"/>
                      <w:szCs w:val="28"/>
                    </w:rPr>
                    <w:t>едерального стандарта бухгалтерского учета для организаций государственного сектора «Аренда», приказом Министерства финансов Российской Федерации от 31.12.2016 №259н «Об утверждении федерального стандарта бухгалтерского учета для организаций государственно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го сектора «Обесценение активов», приказом Министерства финансов Российской Федерации от 31.12.2016 №260н «Об утверждении федерального стандарта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бухгалтерского учета для организаций государственного сектора «Представление бухгалтерской (финансовой) отчетно</w:t>
                  </w:r>
                  <w:r>
                    <w:rPr>
                      <w:color w:val="000000"/>
                      <w:sz w:val="28"/>
                      <w:szCs w:val="28"/>
                    </w:rPr>
                    <w:t>сти», приказом Министерства финансов Российской Федерации от 30.12.2017 № 278н «Об утверждении федерального стандарта бухгалтерского учета для организаций государственного сектора «Отчет о движении денежных средств», приказом Министерства финансов Российск</w:t>
                  </w:r>
                  <w:r>
                    <w:rPr>
                      <w:color w:val="000000"/>
                      <w:sz w:val="28"/>
                      <w:szCs w:val="28"/>
                    </w:rPr>
                    <w:t>ой Федерации от 30.12.2017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ошибки», приказом Министерства финансов Российской Федерации от 30.12.2017 № 275н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«Об утверждении федерального стандарта бухгалтерского учета для организаций государственного сектора «События после отчетной даты», приказом Министерства финансов Российской Федерации от 27.02.2018 № 32н «Об утверждении федерального стандарта бухгалтерско</w:t>
                  </w:r>
                  <w:r>
                    <w:rPr>
                      <w:color w:val="000000"/>
                      <w:sz w:val="28"/>
                      <w:szCs w:val="28"/>
                    </w:rPr>
                    <w:t>го учета для организаций государственного сектора «Доходы» и согласно учетной политики муниципальных учреждений.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Бухгалтерский (бюджетный) учет в муниципальных учреждениях ведется с применением автоматизированных систем.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соответствии со стать</w:t>
                  </w:r>
                  <w:r>
                    <w:rPr>
                      <w:color w:val="000000"/>
                      <w:sz w:val="28"/>
                      <w:szCs w:val="28"/>
                    </w:rPr>
                    <w:t>ей 215.1 Бюджетного кодекса Российской Федерации и соответствующими соглашениями кассовое обслуживание исполнения бюджетов муниципальных образований (муниципального района и 12 поселений) с 1 января 2013 года осуществляется Управлением Федерального казначе</w:t>
                  </w:r>
                  <w:r>
                    <w:rPr>
                      <w:color w:val="000000"/>
                      <w:sz w:val="28"/>
                      <w:szCs w:val="28"/>
                    </w:rPr>
                    <w:t>йства по Ставропольскому краю.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Информация о количественном составе участников и не участников бюджетного процесса представлена в форме 0503361 «Сведения о количестве подведомственных участников бюджетного процесса, учреждений и государственных (муниципальных) унитарных предприятий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и публично-правовых образований».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Шпаковский район состоит из 13 публично-правовых образований – 1 муниципальный район, 1 городское поселение и 11 сельских поселений.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Всего на территории Шпаковского муниципального района зарегистрировано 115 м</w:t>
                  </w:r>
                  <w:r>
                    <w:rPr>
                      <w:color w:val="000000"/>
                      <w:sz w:val="28"/>
                      <w:szCs w:val="28"/>
                    </w:rPr>
                    <w:t>униципальных учреждений, имеющих статус юридического лица, в том числе: 48 казённых учреждения (или 41,7 %), 41 бюджетных учреждений (или 35,7 %) и 26 органов местного самоуправления (или 22,6 %).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2019 году создано одно новое общеобразовательное уч</w:t>
                  </w:r>
                  <w:r>
                    <w:rPr>
                      <w:color w:val="000000"/>
                      <w:sz w:val="28"/>
                      <w:szCs w:val="28"/>
                    </w:rPr>
                    <w:t>реждение: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муниципальное бюджетное общеобразовательное учреждение «Средняя общеобразовательная школа № 20» (ИНН 2623030085) в соответствии с постановлением администрации Шпаковского муниципального района Ставропольского края от 11.01.2019 № 8.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Н</w:t>
                  </w:r>
                  <w:r>
                    <w:rPr>
                      <w:color w:val="000000"/>
                      <w:sz w:val="28"/>
                      <w:szCs w:val="28"/>
                    </w:rPr>
                    <w:t>а территории Шпаковского муниципального района Ставропольского края действует 22 муниципальных унитарных предприятия.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Согласно бюджетной отчетности уставный фонд муниципальных унитарных предприятий составил 892241,00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</w:t>
                  </w:r>
                </w:p>
              </w:tc>
            </w:tr>
          </w:tbl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E04285">
        <w:tc>
          <w:tcPr>
            <w:tcW w:w="10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</w:t>
            </w:r>
            <w:r>
              <w:rPr>
                <w:b/>
                <w:bCs/>
                <w:color w:val="000000"/>
                <w:sz w:val="28"/>
                <w:szCs w:val="28"/>
              </w:rPr>
              <w:t>ьтаты деятельности субъекта бюджетной отчетности»</w:t>
            </w:r>
          </w:p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0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01"/>
            </w:tblGrid>
            <w:tr w:rsidR="00E04285">
              <w:tc>
                <w:tcPr>
                  <w:tcW w:w="100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     В ходе исполнения консолидированного бюджета Шпаковского муниципального района в 2019 году достигнуты следующие результаты деятельности.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течение 2019 года на основании Инвестиционного паспор</w:t>
                  </w:r>
                  <w:r>
                    <w:rPr>
                      <w:color w:val="000000"/>
                      <w:sz w:val="28"/>
                      <w:szCs w:val="28"/>
                    </w:rPr>
                    <w:t>та Шпаковского муниципального района Ставропольского края, утвержденного постановлением администрации Шпаковского муниципального района Ставропольского края от 29.04.2015 г. № 350, продолжалась работа с перечнем инвестиционных проектов, реализуемых на терр</w:t>
                  </w:r>
                  <w:r>
                    <w:rPr>
                      <w:color w:val="000000"/>
                      <w:sz w:val="28"/>
                      <w:szCs w:val="28"/>
                    </w:rPr>
                    <w:t>итории Шпаковского муниципального района Ставропольского края.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стадии реализации на территории Шпаковского района Ставропольского края находятся следующие инвестиционные проекты: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«Комплекс по производству козьего молока и продуктов его перераб</w:t>
                  </w:r>
                  <w:r>
                    <w:rPr>
                      <w:color w:val="000000"/>
                      <w:sz w:val="28"/>
                      <w:szCs w:val="28"/>
                    </w:rPr>
                    <w:t>отки» (ООО «Козий Молочный Комплекс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Надеждинский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») – на территории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Надеждинского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края. Общая стоимость инвестиционного проекта составляет 497000000,00 рублей. С начала реализации про</w:t>
                  </w:r>
                  <w:r>
                    <w:rPr>
                      <w:color w:val="000000"/>
                      <w:sz w:val="28"/>
                      <w:szCs w:val="28"/>
                    </w:rPr>
                    <w:t>екта создано 27 рабочих мест, средний уровень заработной платы составляет 25000,00 рублей. Срок реализации инвестиционного проекта 2018-2020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«Выращивание многолетних культур (виноград), производство вина из винограда» (КФХ Сердюков А.Н.) на терр</w:t>
                  </w:r>
                  <w:r>
                    <w:rPr>
                      <w:color w:val="000000"/>
                      <w:sz w:val="28"/>
                      <w:szCs w:val="28"/>
                    </w:rPr>
                    <w:t>итории муниципального образования Татарского сельсовета Шпаковского района Ставропольского края. Общая стоимость инвестиционного проекта 10000000,00 рублей, площадь земельного участка 3 гектара, планируется создать 4 рабочих места, с начала реализации прое</w:t>
                  </w:r>
                  <w:r>
                    <w:rPr>
                      <w:color w:val="000000"/>
                      <w:sz w:val="28"/>
                      <w:szCs w:val="28"/>
                    </w:rPr>
                    <w:t>кта было создано 1 рабочее место. Срок реализации инвестиционного проекта 2018 - 2021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«Спортивный комплекс «Лидер» (СК «Лидер») - строительство спортивного комплекса, состоящего из универсального спортивного зала, бассейна, ледовой арены, футбольного манежа,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конференц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зала. Проект реализуется на территории муниципального образования г</w:t>
                  </w:r>
                  <w:r>
                    <w:rPr>
                      <w:color w:val="000000"/>
                      <w:sz w:val="28"/>
                      <w:szCs w:val="28"/>
                    </w:rPr>
                    <w:t>орода Михайловска Шпаковского района Ставропольского края. Стоимость проекта 140000000,00 рублей, предполагаемый срок окупаемости 3 года, планируется создать 15 рабочих мест, средний уровень заработной платы – 30000,00 рублей. Срок реализации инвестиционно</w:t>
                  </w:r>
                  <w:r>
                    <w:rPr>
                      <w:color w:val="000000"/>
                      <w:sz w:val="28"/>
                      <w:szCs w:val="28"/>
                    </w:rPr>
                    <w:t>го проекта 2019 – 2022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«Дилерский центр «Ростсельмаш» на предприятии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Ставропольстройопторг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» - дилерский центр по продаже, ремонту и обслуживанию сельскохозяйственной техники. Проект реализуется на территории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Верхнеру</w:t>
                  </w:r>
                  <w:r>
                    <w:rPr>
                      <w:color w:val="000000"/>
                      <w:sz w:val="28"/>
                      <w:szCs w:val="28"/>
                    </w:rPr>
                    <w:t>сского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края. Стоимость проекта 100000000,00 рублей, объем освоенных инвестиций с начала реализации проекта составляет 45000000,00 рублей, предполагаемый срок окупаемости 5 лет, планируется создать 7 рабочих мес</w:t>
                  </w:r>
                  <w:r>
                    <w:rPr>
                      <w:color w:val="000000"/>
                      <w:sz w:val="28"/>
                      <w:szCs w:val="28"/>
                    </w:rPr>
                    <w:t>т, средний уровень заработной платы – 30000,00 рублей. Срок реализации инвестиционного проекта 2019–2020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Туристко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рекреационный комплекс в хуторе Садовый, выращивание винограда (производство вина, винные погреба, дегустационный зал), фруктовы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 сады, база отдыха (пруд для ловли рыбы, беседки для отдыха)» (КФХ Котов И.И.)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на территории муниципального образования Татарского сельсовета Шпаковского района Ставропольского края. Общая стоимость инвестиционного проекта 20000000,00 рублей, объем освоен</w:t>
                  </w:r>
                  <w:r>
                    <w:rPr>
                      <w:color w:val="000000"/>
                      <w:sz w:val="28"/>
                      <w:szCs w:val="28"/>
                    </w:rPr>
                    <w:t>ных инвестиций с начала реализации составляет 4000000,00 рублей. Планируется создать 20 рабочих мест, с начала реализации проекта создано 5 рабочих мест. Срок реализации инвестиционного проекта 2019-2022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Туристко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рекреационный комплекс «Страусовая ферма», разведение страусов (производство страусового мяса, яиц), база отдыха (пруд для ловли рыбы, беседки для отдыха, волейбольная площадка) (КФХ Смирный Алексей Алексеевич) на территории муниципального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края. Общая стоимость проекта – 120000000,00 рублей, объем освоенных инвестиций с начала реализации проекта составляет 48000000,00 рублей. Планируется создать 30 рабочих мест, с начал</w:t>
                  </w:r>
                  <w:r>
                    <w:rPr>
                      <w:color w:val="000000"/>
                      <w:sz w:val="28"/>
                      <w:szCs w:val="28"/>
                    </w:rPr>
                    <w:t>а реализации проекта создано 6 рабочих мест. Срок реализации инвестиционного проекта 2019–2022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«Подростковый бассейн в городе Михайловске (ООО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СтавропольГрандСтрой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»), состоящий из 3 дорожек общей площадью 1500 квадратных метров» на территории </w:t>
                  </w: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 города Михайловска Шпаковского района Ставропольского края. Стоимость проекта составляет 50000000,00 рублей, планируется создать 30 рабочих мест, средний уровень заработной платы – 25000,00 рублей. Срок реализации проекта 2019–20</w:t>
                  </w:r>
                  <w:r>
                    <w:rPr>
                      <w:color w:val="000000"/>
                      <w:sz w:val="28"/>
                      <w:szCs w:val="28"/>
                    </w:rPr>
                    <w:t>22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Общая стоимость реализующихся на территории Шпаковского района Ставропольского края инвестиционных проектов составляет 937000000,00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настоящее время на территории Шпаковского района Ставропольского края планируются к реализации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следующие инвестиционные проекты: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«Предприятие по производству строительного и пищевого оборудования» («РБГ Гамбит» ИП Коломийцев А.В.). В настоящее время оформляется земельный участок под строительство объекта на территории муниципального образован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Верхнерусского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края, планируется создать 20 рабочих мест, средний уровень заработной платы составит 30000,00 рублей. Срок реализации инвестиционного проекта 2020–2022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«Сервисный центр по обслужива</w:t>
                  </w:r>
                  <w:r>
                    <w:rPr>
                      <w:color w:val="000000"/>
                      <w:sz w:val="28"/>
                      <w:szCs w:val="28"/>
                    </w:rPr>
                    <w:t>нию грузовой техники MAN (ООО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Нейс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-Юг»), дилерский центр по ремонту и обслуживанию автомобильной и спецтехники». Планируется к реализации на территории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Верхнерусского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края. Общая сто</w:t>
                  </w:r>
                  <w:r>
                    <w:rPr>
                      <w:color w:val="000000"/>
                      <w:sz w:val="28"/>
                      <w:szCs w:val="28"/>
                    </w:rPr>
                    <w:t>имость проекта 280000000,00 рублей, предполагаемый срок окупаемости 7 лет, планируется создать 40 рабочих мест, средний уровень заработной платы составит 18000,00 рублей. Срок реализации инвестиционного проекта 2018–2021 годы.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«Расширение предприятия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транспортной компании «GLT» - строительство сервисного центра по обслуживанию и ремонту грузовых автомобилей, а также закупка новых грузовых автомобилей». Планируется к реализации на территории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Надеждинского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го района Ставропольского края. Стоимость проекта 300000000,00 рублей, предполагаемый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срок окупаемости 5 лет, планируется создать 300 рабочих мест со средним уровнем заработной платы 60000,00 рублей. Срок реализации инвестиционного проекта 2020 – 2022 годы</w:t>
                  </w:r>
                  <w:r>
                    <w:rPr>
                      <w:color w:val="000000"/>
                      <w:sz w:val="28"/>
                      <w:szCs w:val="28"/>
                    </w:rPr>
                    <w:t>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«Завод компрессорного оборудования,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автосервисного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оборудования «АВМ Компрессор». Планируется к реализации на территории муниципального образования города Михайловска Шпаковского района Ставропольского края. Стоимость проекта 100000000,00 рублей, п</w:t>
                  </w:r>
                  <w:r>
                    <w:rPr>
                      <w:color w:val="000000"/>
                      <w:sz w:val="28"/>
                      <w:szCs w:val="28"/>
                    </w:rPr>
                    <w:t>ланируется создать 50 рабочих мест со средним уровнем заработной платы 25000,00 рублей. Срок начала реализации проекта - 2020 год.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Общая стоимость планируемых к реализации на территории Шпаковского района Ставропольского края инвестиционных проектов </w:t>
                  </w:r>
                  <w:r>
                    <w:rPr>
                      <w:color w:val="000000"/>
                      <w:sz w:val="28"/>
                      <w:szCs w:val="28"/>
                    </w:rPr>
                    <w:t>составляет 680000000,00 рублей, планируется создать 410 рабочих мест.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целях повышения эффективности расходования бюджетных средств при закупке товаров, работ и услуг для обеспечения государственных (муниципальных) нужд администрацией Шпаковского ра</w:t>
                  </w:r>
                  <w:r>
                    <w:rPr>
                      <w:color w:val="000000"/>
                      <w:sz w:val="28"/>
                      <w:szCs w:val="28"/>
                    </w:rPr>
                    <w:t>йона Ставропольского края разработан и утвержден порядок определения нормативных затрат на обеспечение функций органов местного самоуправления Шпаковского муниципального района Ставропольского края (включая подведомственные муниципальные казенные учреждени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я Шпаковского муниципального района Ставропольского края), утверждены правила определения требований к закупаемым муниципальными органами Шпаковского муниципального района Ставропольского края и подведомственными указанным органам муниципальными казенными </w:t>
                  </w:r>
                  <w:r>
                    <w:rPr>
                      <w:color w:val="000000"/>
                      <w:sz w:val="28"/>
                      <w:szCs w:val="28"/>
                    </w:rPr>
                    <w:t>учреждениями Шпаковского муниципального района Ставропольского края и муниципальными бюджетными учреждениями Шпаковского муниципального района Ставропольского края отдельным видам товаров, работ, услуг (в том числе предельных цен товаров, работ, услуг), тр</w:t>
                  </w:r>
                  <w:r>
                    <w:rPr>
                      <w:color w:val="000000"/>
                      <w:sz w:val="28"/>
                      <w:szCs w:val="28"/>
                    </w:rPr>
                    <w:t>ебования к закупаемым отдельным видам товаров, работ, услуг (в том числе предельные цены товаров, работ, услуг), нормативные затраты на обеспечение функций органов местного самоуправления Шпаковского муниципального района Ставропольского края (включая подв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едомственные муниципальные казенные учреждения Шпаковского муниципального района Ставропольского края).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Для достижения цели эффективного использования имеющихся бюджетных средств, экономии средств в 2019 году закупка товаров, работ, услуг осуществлял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ась в строгом соответствии с утвержденными нормативными затратами. В целях эффективного использования ресурсов учреждениями Шпаковского муниципального района проводились мероприятия по снижению потребления энергоресурсов,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водосбережению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утверждена и выпол</w:t>
                  </w:r>
                  <w:r>
                    <w:rPr>
                      <w:color w:val="000000"/>
                      <w:sz w:val="28"/>
                      <w:szCs w:val="28"/>
                    </w:rPr>
                    <w:t>няется программа энергосбережения и повышения энергетической эффективности.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Для повышения эффективности выполнения должностных обязанностей специалисты органов местного самоуправления и муниципальных учреждений Шпаковского муниципального района в отч</w:t>
                  </w:r>
                  <w:r>
                    <w:rPr>
                      <w:color w:val="000000"/>
                      <w:sz w:val="28"/>
                      <w:szCs w:val="28"/>
                    </w:rPr>
                    <w:t>етном периоде прошли обучение на курсах повышения квалификации и переподготовки (101 человек):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ФГБОУ ВПО «Российская академия народного хозяйства и государственной службы при Президенте Российской Федерации» по программе «Противодействие коррупции в </w:t>
                  </w:r>
                  <w:r>
                    <w:rPr>
                      <w:color w:val="000000"/>
                      <w:sz w:val="28"/>
                      <w:szCs w:val="28"/>
                    </w:rPr>
                    <w:t>органах местного самоуправления» (51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     ЧУ ДПО «Центр профессиональной ориентации» по программе «Обучение работодателей и работников по вопросам охраны труда» (5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Учебный центр ООО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Агенство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Инсайт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» по программе «Вопросы функцио</w:t>
                  </w:r>
                  <w:r>
                    <w:rPr>
                      <w:color w:val="000000"/>
                      <w:sz w:val="28"/>
                      <w:szCs w:val="28"/>
                    </w:rPr>
                    <w:t>нирования контрактной системы в сфере закупок товаров, работ, услуг для обеспечения муниципальных нужд: актуальные изменения» (2 человека);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ФГАОУ ВПО «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Северо-Кавказский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федеральный университет» по программе «Информационные и цифровые технологии в мун</w:t>
                  </w:r>
                  <w:r>
                    <w:rPr>
                      <w:color w:val="000000"/>
                      <w:sz w:val="28"/>
                      <w:szCs w:val="28"/>
                    </w:rPr>
                    <w:t>иципальном управлении» (1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ГКУ «Противопожарная 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аварийно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спасательная служба Ставропольского края» по программе «Обучение должностных лиц и специалистов гражданской обороны и единой государственной системы предупреждения и ликвидации чре</w:t>
                  </w:r>
                  <w:r>
                    <w:rPr>
                      <w:color w:val="000000"/>
                      <w:sz w:val="28"/>
                      <w:szCs w:val="28"/>
                    </w:rPr>
                    <w:t>звычайных ситуаций», «Противопожарная безопасность» (11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АНО ДПО «Институт экономики, управления и социальных отношений» по программе «Управление муниципальными финансами в 2019 году: новации и основные направления развития» (1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</w:t>
                  </w:r>
                  <w:r>
                    <w:rPr>
                      <w:color w:val="000000"/>
                      <w:sz w:val="28"/>
                      <w:szCs w:val="28"/>
                    </w:rPr>
                    <w:t>   Межрегиональный институт Дополнительного образования по программе «Правовое регулирование практика осуществления, экспертиза результатов и контроль в сфере государственных, муниципальных и корпоративных закупок» (1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ЧОУ ДПО Ставропольский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краевой образовательный центр «Знание» по программам «Актуальные вопросы бухгалтерского учета и отчетности в учреждениях государственного сектора в 2019 году: изменения положений инструкций по бухгалтерскому (бюджетному) учету. Новые требования к аналитик</w:t>
                  </w:r>
                  <w:r>
                    <w:rPr>
                      <w:color w:val="000000"/>
                      <w:sz w:val="28"/>
                      <w:szCs w:val="28"/>
                    </w:rPr>
                    <w:t>е, корреспонденции по отдельным хозяйственным операциям. Практическое применение федеральных стандартов, обязательных с 1 января 2019 года», «Правовые и организационные меры по противодействию коррупции в деятельности государственных и муниципальных служащ</w:t>
                  </w:r>
                  <w:r>
                    <w:rPr>
                      <w:color w:val="000000"/>
                      <w:sz w:val="28"/>
                      <w:szCs w:val="28"/>
                    </w:rPr>
                    <w:t>их», «Правовое регулирование вопросов трудового законодательства с учетом судебной практики – перспективы 2019 года. Организация архивного делопроизводства» (3 человека);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ГБО ДПО «Ставропольский региональный ресурсный центр» по программе «Управление </w:t>
                  </w:r>
                  <w:r>
                    <w:rPr>
                      <w:color w:val="000000"/>
                      <w:sz w:val="28"/>
                      <w:szCs w:val="28"/>
                    </w:rPr>
                    <w:t>государственными и муниципальными закупками» (4 человека);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Автономная некоммерческая организация дополнительного профессионального образования «Учебный центр «Эксперт» по программам «Организация и ведение мобилизационной подготовки и мобилизации», «З</w:t>
                  </w:r>
                  <w:r>
                    <w:rPr>
                      <w:color w:val="000000"/>
                      <w:sz w:val="28"/>
                      <w:szCs w:val="28"/>
                    </w:rPr>
                    <w:t>ащита государственной тайны» (2 человека);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Частное образовательное учреждение дополнительного образования «Бизнес Образование» по программе «Работа с программным продуктом «Гранд Смета» (1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Автономная некоммерческая организация дополни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тельного профессионального образования «Центр образования»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Элкод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» по программам «Практический менеджмент», «Управление конфликтами» (2 человека);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ГКУ ДПО «Учебный центр Министерства финансов Ставропольского края» по программам «Актуальные вопросы бюд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жетного учета», «О контрактной системе в сфере государственных и муниципальных закупок» (5 человек);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ФГБОУ ВПО «Российская академия народного хозяйства и государственной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службы при Президенте Российской Федерации» по программе «Управление в сфере культуры» (1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ФГБОУ ВПО «Российская академия народного хозяйства и государственной службы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при Президенте Российской Федерации» по программе «Государственное и муниципальное управление», «Управление государственными и муниципальными закупками» (2 человека);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ООО «Центр подготовки государственных и муниципальных служащих» по программе «Мене</w:t>
                  </w:r>
                  <w:r>
                    <w:rPr>
                      <w:color w:val="000000"/>
                      <w:sz w:val="28"/>
                      <w:szCs w:val="28"/>
                    </w:rPr>
                    <w:t>джер социально-культурной деятельности» (1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ФГБОУ ВПО «Ставропольский государственный аграрный университет» по программе «Обучение персонала по управлению государственными и муниципальными закупками» (2 человека);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АНО ДПО «Учебный цент</w:t>
                  </w:r>
                  <w:r>
                    <w:rPr>
                      <w:color w:val="000000"/>
                      <w:sz w:val="28"/>
                      <w:szCs w:val="28"/>
                    </w:rPr>
                    <w:t>р СКБ Контур» по программе «Федеральные стандарты бюджетного учета и отчетности государственных (муниципальных) казенных учреждений» (1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Индивидуальный предприниматель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Дорохина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Т.А. по программе «Изменения в учете и порядок применения Федера</w:t>
                  </w:r>
                  <w:r>
                    <w:rPr>
                      <w:color w:val="000000"/>
                      <w:sz w:val="28"/>
                      <w:szCs w:val="28"/>
                    </w:rPr>
                    <w:t>льных стандартов учреждениями государственного сектора в 2019 году» (3 человека);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ООО «Бакалавр» по программе «44-ФЗ» (1 человек);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Учебно-курсовой комбинат «СТАВРОПОЛЬАГРОКОМПЛЕКС» по программам «Обучение по охране труда и проверка знаний требов</w:t>
                  </w:r>
                  <w:r>
                    <w:rPr>
                      <w:color w:val="000000"/>
                      <w:sz w:val="28"/>
                      <w:szCs w:val="28"/>
                    </w:rPr>
                    <w:t>аний охраны труда руководителей и специалистов», «Пожарно-технический минимум» (2 человека).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отчетном периоде 153 педагогических работника казенных образовательных организаций прошли курсы повышения квалификации по направлениям: методика подготовки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обучающихся к государственной итоговой аттестации по истории и обществознанию; методика подготовки обучающихся к государственной итоговой аттестации по иностранному языку; преподавание иностранных языков в условиях реализации ФГОС; патриотическое воспитан</w:t>
                  </w:r>
                  <w:r>
                    <w:rPr>
                      <w:color w:val="000000"/>
                      <w:sz w:val="28"/>
                      <w:szCs w:val="28"/>
                    </w:rPr>
                    <w:t>ие как условие формирования гражданской идентичности обучающихся; теория и методика спортивной подготовки юных спортсменов; формирование психологической комфортной и безопасной образовательной среды. На подтверждение категории соответствия занимаемой должн</w:t>
                  </w:r>
                  <w:r>
                    <w:rPr>
                      <w:color w:val="000000"/>
                      <w:sz w:val="28"/>
                      <w:szCs w:val="28"/>
                    </w:rPr>
                    <w:t>ости аттестацию прошло 70 педагогических работников образовательных учреждений, 50 педагогических работников были аттестованы на высшую квалификационную категорию, 20 педагогических работников аттестованы на первую квалификационную категорию.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отчет</w:t>
                  </w:r>
                  <w:r>
                    <w:rPr>
                      <w:color w:val="000000"/>
                      <w:sz w:val="28"/>
                      <w:szCs w:val="28"/>
                    </w:rPr>
                    <w:t>ном периоде прослеживается тенденция к увеличению балансовой стоимости основных средств (сооружения, нежилые помещения) на сумму 80829371,59 рублей в связи с приобретением основных фондов для муниципальных нужд.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Степень изношенности основных фондов н</w:t>
                  </w:r>
                  <w:r>
                    <w:rPr>
                      <w:color w:val="000000"/>
                      <w:sz w:val="28"/>
                      <w:szCs w:val="28"/>
                    </w:rPr>
                    <w:t>а конец отчетного периода составляет 80,6 %, что на 2,6 % меньше показателя 2018 года. Основные средства в учреждениях находятся в удовлетворительном состоянии. Все рабочие места сотрудников оснащены всем необходимым оборудованием и оргтехникой.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20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19 году по счету 120400000 «Финансовые вложения» составили 1878714279,69 рублей, в том числе с целью оказания финансовой помощи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муниципальным унитарным предприятиям в уставный фонд – 892241,00 рублей, расчеты учредителя с бюджетными учреждениями – 18778220</w:t>
                  </w:r>
                  <w:r>
                    <w:rPr>
                      <w:color w:val="000000"/>
                      <w:sz w:val="28"/>
                      <w:szCs w:val="28"/>
                    </w:rPr>
                    <w:t>38,69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2019 году по счету 121500000 «Вложения в финансовые активы» составили 59445883,36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 01 марта 2017 года в Шпаковском муниципальном районе начало свою деятельность вновь созданное муниципальное казенное учреждение «Межведо</w:t>
                  </w:r>
                  <w:r>
                    <w:rPr>
                      <w:color w:val="000000"/>
                      <w:sz w:val="28"/>
                      <w:szCs w:val="28"/>
                    </w:rPr>
                    <w:t>мственная централизованная бухгалтерия Шпаковского муниципального района Ставропольского края», основным направлением деятельности которого является ведение централизованного бухгалтерского (бюджетного) учета и формирование бухгалтерской (бюджетной) отчетн</w:t>
                  </w:r>
                  <w:r>
                    <w:rPr>
                      <w:color w:val="000000"/>
                      <w:sz w:val="28"/>
                      <w:szCs w:val="28"/>
                    </w:rPr>
                    <w:t>ости муниципальных учреждений Шпаковского района. По состоянию на 01.01.2020 года в МКУ «МЦБ Шпаковского района» обслуживается 79 учреждения района, в том числе 5 учреждений принято на обслуживание в 2019 году. Экономический эффект от создания централизова</w:t>
                  </w:r>
                  <w:r>
                    <w:rPr>
                      <w:color w:val="000000"/>
                      <w:sz w:val="28"/>
                      <w:szCs w:val="28"/>
                    </w:rPr>
                    <w:t>нной бухгалтерии за весь период деятельности учреждения составил 15241610,00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Приоритетным направлением расходования средств консолидированного бюджета Шпаковского муниципального района Ставропольского края в 2019 году являлось осуществление м</w:t>
                  </w:r>
                  <w:r>
                    <w:rPr>
                      <w:color w:val="000000"/>
                      <w:sz w:val="28"/>
                      <w:szCs w:val="28"/>
                    </w:rPr>
                    <w:t>ероприятий региональных проектов, направленных на достижение целей, показателей и результатов соответствующих федеральных проектов в рамках реализации национальных проектов, определенных Указом Президента Российской Федерации от 07 мая 2018 года № 204 «О н</w:t>
                  </w:r>
                  <w:r>
                    <w:rPr>
                      <w:color w:val="000000"/>
                      <w:sz w:val="28"/>
                      <w:szCs w:val="28"/>
                    </w:rPr>
                    <w:t>ациональных целях и стратегических задачах развития Российской федерации на период до 2024 года». В Шпаковском районе в отчетном периоде реализовывались национальные проекты «Образование», «Демография», «Безопасные и качественные автомобильные дороги», «Ку</w:t>
                  </w:r>
                  <w:r>
                    <w:rPr>
                      <w:color w:val="000000"/>
                      <w:sz w:val="28"/>
                      <w:szCs w:val="28"/>
                    </w:rPr>
                    <w:t>льтура», «Жилье и городская среда» в рамках которых осуществлялись мероприятия восьми региональных проектов: «Современная школа», «Успех каждого ребенка», «Финансовая поддержка семей при рождении детей», «Содействие занятости женщин - создание условий дошк</w:t>
                  </w:r>
                  <w:r>
                    <w:rPr>
                      <w:color w:val="000000"/>
                      <w:sz w:val="28"/>
                      <w:szCs w:val="28"/>
                    </w:rPr>
                    <w:t>ольного образования для детей в возрасте до трех лет», «Дорожная сеть», «Культурная среда», «Спорт - норма жизни», «Формирование комфортной городской среды». Общий объем бюджетных ассигнований, предусмотренный на данные цели в отчетном периоде составил в о</w:t>
                  </w:r>
                  <w:r>
                    <w:rPr>
                      <w:color w:val="000000"/>
                      <w:sz w:val="28"/>
                      <w:szCs w:val="28"/>
                    </w:rPr>
                    <w:t>бщей сумме 1343520497,30 рублей, кассовое исполнение сложилось в объеме 1139580718,56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рамках реализации национального проекта «Образование», подпрограммы «Развитие дошкольного, общего и дополнительного образования» государственной программы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Ставропольского края «Развитие образования» на территории Шпаковского муниципального района в отчетном периоде производились расходы на следующие мероприятия: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строительство здания средней общеобразовательной школы на 1002 места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г.Михайловске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по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у</w:t>
                  </w:r>
                  <w:r>
                    <w:rPr>
                      <w:color w:val="000000"/>
                      <w:sz w:val="28"/>
                      <w:szCs w:val="28"/>
                    </w:rPr>
                    <w:t>л.Прекрасная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28. Затраты по данному объекту составили в общей сумме 163406921,66 рублей, из которых 153603323,39 рублей – средства федерального бюджета, 8169529,06 рублей – средства краевого бюджета, 1634069,21 рублей – средства местного бюджета. Строител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ьство объекта завершено, обязательства, предусмотренные условиями заключенного соглашения с министерством строительства и архитектуры Ставропольского края, а также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муниципального контракта с подрядной организацией исполнены в полном объеме. С 01 сентября 2</w:t>
                  </w:r>
                  <w:r>
                    <w:rPr>
                      <w:color w:val="000000"/>
                      <w:sz w:val="28"/>
                      <w:szCs w:val="28"/>
                    </w:rPr>
                    <w:t>019 года данный объект введен в эксплуатацию, целевой показатель результативности, предусмотренный условиями заключенного соглашения – количество новых мест в общеобразовательных организациях, введенных в эксплуатацию в размере 1002 места выполнен в полном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объеме;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строительство здания средней общеобразовательной школы на 1002 места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г.Михайловске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по ул. Александра Грибоедова, 7. Затраты по данному объекту составили в общей сумме 131061953,29 рублей, из которых 123198891,40 рублей – средства федераль</w:t>
                  </w:r>
                  <w:r>
                    <w:rPr>
                      <w:color w:val="000000"/>
                      <w:sz w:val="28"/>
                      <w:szCs w:val="28"/>
                    </w:rPr>
                    <w:t>ного бюджета, 6552442,35 рублей – средства краевого бюджета, 1310619,54 рублей – средства местного бюджета. Строительство данного объекта не завершено в отчетном периоде в связи с тем, что условиями соглашения завершение строительства назначено на 2020 год</w:t>
                  </w:r>
                  <w:r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создание в муниципальных общеобразовательных организациях Шпаковского муниципального района Ставропольского края, расположенных в сельской местности, условий для занятий физической культурой с спортом - произведен капитальный ремонт спортивного зал</w:t>
                  </w:r>
                  <w:r>
                    <w:rPr>
                      <w:color w:val="000000"/>
                      <w:sz w:val="28"/>
                      <w:szCs w:val="28"/>
                    </w:rPr>
                    <w:t>а и создан спортивный клуб в Муниципальном казенном учреждении «Средняя общеобразовательная школа № 12 с. Татарка» Шпаковского района Ставропольского края. Плановые назначения на данные мероприятия исполнены в полном объеме, расходы в общей сумме составили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2229617,30 рублей, из которых 1977207,66 рублей - средства федерального бюджета, 126204,74 рублей - средства краевого бюджета, 126204,90 рублей - средства местного бюджета;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создание на базе трех общеобразовательных организаций - МБОУ «Средняя общеоб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разовательная школа № 16 с. Дубовка» Шпаковского района Ставропольского края, МКОУ «Средняя общеобразовательная школа № 17 ст. Новомарьевская» Шпаковского района Ставропольского края, МКОУ «Средняя общеобразовательная школа № 18 х.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Демино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» Шпаковского райо</w:t>
                  </w:r>
                  <w:r>
                    <w:rPr>
                      <w:color w:val="000000"/>
                      <w:sz w:val="28"/>
                      <w:szCs w:val="28"/>
                    </w:rPr>
                    <w:t>на Ставропольского края - центров образования цифрового и гуманитарного профилей (проведение капитального ремонта, приобретение оборудования и учебной мебели). На данные мероприятия израсходовано в общей сумме 2325079,30 рублей за счет средств местного бюд</w:t>
                  </w:r>
                  <w:r>
                    <w:rPr>
                      <w:color w:val="000000"/>
                      <w:sz w:val="28"/>
                      <w:szCs w:val="28"/>
                    </w:rPr>
                    <w:t>жета. На выплату заработной платы педагогических работников и учебные расходы при осуществлении деятельности данных центров направлено 1112300,91 рублей, из которых средства краевого бюджета - 1056685,86 рублей, средства местного бюджета – 55615,05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В рамках реализации национального проекта «Демография» на территории Шпаковского района Ставропольского края в отчетном периоде производились расходы на следующие мероприятия: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дошкольного образовательного учреждения на 280 мест для детей в возрасте от двух месяцев до трех лет в г. Михайловске по ул. Ленина, 206 (с обеспечением ввода объекта в эксплуатацию). На эти цели было израсходовано в общей сумме 1543074</w:t>
                  </w:r>
                  <w:r>
                    <w:rPr>
                      <w:color w:val="000000"/>
                      <w:sz w:val="28"/>
                      <w:szCs w:val="28"/>
                    </w:rPr>
                    <w:t>18,78 рублей, из которых 92108279,18 рублей – средства федерального бюджета, 60656065,45 рублей – средства краевого бюджета, 1543074,15 рублей – средства местного бюджета. Строительство объекта не завершено в отчетном периоде в связи с нарушением подрядным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и организациями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сроков исполнения и иных условий заключенных контрактов. Строительство продолжится в 2020 году;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приобретен объект недвижимости «Дошкольное образовательное учреждение на 288 мест по ул. Архитектурная, 37 в г. Михайловске». Объем расход</w:t>
                  </w:r>
                  <w:r>
                    <w:rPr>
                      <w:color w:val="000000"/>
                      <w:sz w:val="28"/>
                      <w:szCs w:val="28"/>
                    </w:rPr>
                    <w:t>ов по данному мероприятию составил в общей сумме 269390340,00 рублей, из которых средства федерального бюджета - 152923100,00 рублей, средства краевого бюджета - 113773336,60 рублей, средства местного бюджета 2693903,40 рублей. Исполнение по мероприятию со</w:t>
                  </w:r>
                  <w:r>
                    <w:rPr>
                      <w:color w:val="000000"/>
                      <w:sz w:val="28"/>
                      <w:szCs w:val="28"/>
                    </w:rPr>
                    <w:t>ставило 100 % от утвержденных плановых назначений;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строительство и ввод в эксплуатацию комплексной спортивной площадки на территории Татарского сельсовета Шпаковского района Ставропольского края. Расходы на данные мероприятия в общей сумме составили </w:t>
                  </w:r>
                  <w:r>
                    <w:rPr>
                      <w:color w:val="000000"/>
                      <w:sz w:val="28"/>
                      <w:szCs w:val="28"/>
                    </w:rPr>
                    <w:t>2900405,10 рублей, из которых 449859,03 рублей – средства федерального бюджета, 2312431,54 рублей – средства краевого бюджета, 138114,53 рублей – средства местного бюджета.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рамках реализации подпрограммы «Развитие дошкольного, общего и дополнительн</w:t>
                  </w:r>
                  <w:r>
                    <w:rPr>
                      <w:color w:val="000000"/>
                      <w:sz w:val="28"/>
                      <w:szCs w:val="28"/>
                    </w:rPr>
                    <w:t>ого образования» государственной программы Ставропольского края «Развитие образования» в 2019 году произведен капитальный ремонт кровли в МБОУ «СОШ № 1 г. Михайловска». Расходы в общей сумме составили 5800253,00 рублей, из которых 4698204,93 рублей – средс</w:t>
                  </w:r>
                  <w:r>
                    <w:rPr>
                      <w:color w:val="000000"/>
                      <w:sz w:val="28"/>
                      <w:szCs w:val="28"/>
                    </w:rPr>
                    <w:t>тва бюджета Ставропольского края, 1102048,07 рублей – средства местного бюджета. Целевой показатель результативности использования субсидии, предусмотренный условиями заключенного соглашения «Доля отремонтированных в установленные кровель в общем количеств</w:t>
                  </w:r>
                  <w:r>
                    <w:rPr>
                      <w:color w:val="000000"/>
                      <w:sz w:val="28"/>
                      <w:szCs w:val="28"/>
                    </w:rPr>
                    <w:t>е кровель, требующих капитального ремонта в общеобразовательных организациях» выполнен в полном объеме и составил 9,09%. На проведение работ по благоустройству территории муниципальных общеобразовательных организаций Ставропольского края Шпаковскому муници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пальному району была выделена субсидия за счет средств бюджета Ставропольского края в размере 7961771,51 рублей.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расходы за счет средств местного бюджета сложились в сумме 1867576,03 рублей. Средства были направлены на капиталь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ный ремонт асфальтового покрытия пришкольной территории в МБОУ «Лицей № 2 г. Михайловска» и МБОУ «СОШ № 5 г. Михайловска».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рамках реализации подпрограммы «Энергосбережение и повышение энергетической эффективности» государственной программы Ставроп</w:t>
                  </w:r>
                  <w:r>
                    <w:rPr>
                      <w:color w:val="000000"/>
                      <w:sz w:val="28"/>
                      <w:szCs w:val="28"/>
                    </w:rPr>
                    <w:t>ольского края «Развитие энергетики, промышленности и связи» в 2019 году из краевого бюджета бюджету Шпаковского муниципального района выделена субсидия на проведение работ по замене оконных блоков в учреждениях образования в размере 207830,18 рублей, за сч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ет средств местного бюджета на данные цели было направлено 18072,19 рублей. В результате использования данных средств было заменено 42,87 кв. метров оконных блоков в МБУ ДОД «Оздоровительный центр «Солнечный» и МКДОУ «Детский сад № 16» ст.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Темнолесской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ковского района Ставропольского края. Целевой показатель результативности использования субсидии «Доля замененных оконных блоков в общем количестве оконных блоков, требующих замены в образовательных организациях» выполнен и составил 45,48%.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     В 2019 г</w:t>
                  </w:r>
                  <w:r>
                    <w:rPr>
                      <w:color w:val="000000"/>
                      <w:sz w:val="28"/>
                      <w:szCs w:val="28"/>
                    </w:rPr>
                    <w:t>оду на обеспечение общегосударственных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направлено 202783497,98 рублей. Правом на получение общедоступного дош</w:t>
                  </w:r>
                  <w:r>
                    <w:rPr>
                      <w:color w:val="000000"/>
                      <w:sz w:val="28"/>
                      <w:szCs w:val="28"/>
                    </w:rPr>
                    <w:t>кольного образования воспользовались 7315 воспитанников. Расходы по обязательствам бюджета исполнены в полном объеме. Затраты на обеспечение государственных гарантий реализации прав на получение общедоступного и бесплатного начального общего, основного общ</w:t>
                  </w:r>
                  <w:r>
                    <w:rPr>
                      <w:color w:val="000000"/>
                      <w:sz w:val="28"/>
                      <w:szCs w:val="28"/>
                    </w:rPr>
                    <w:t>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его, среднего общего образования в частных общеобразовательных организациях составили 471610102,88 рублей. Правом на получение общедоступного дошкольного образования воспользовались 7315 воспитанников. Правом на получение общедоступного общего образования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воспользовались 16659 учащихся.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В отчетном периоде питанием обеспечены 7315 воспитанников муниципальных детских дошкольных организаций. Стоимость дня питания одного воспитанника дошкольного образовательного учреждения составляет 80,00 рублей, из кото</w:t>
                  </w:r>
                  <w:r>
                    <w:rPr>
                      <w:color w:val="000000"/>
                      <w:sz w:val="28"/>
                      <w:szCs w:val="28"/>
                    </w:rPr>
                    <w:t>рых за счет средств местного бюджета - 30,00 рублей, за счет родительской платы - 50,00 рублей. Расходы на организацию питания воспитанников дошкольных организаций составили 35400252,49 рублей. В целях организации бесплатного питания 4519 учащихся общеобра</w:t>
                  </w:r>
                  <w:r>
                    <w:rPr>
                      <w:color w:val="000000"/>
                      <w:sz w:val="28"/>
                      <w:szCs w:val="28"/>
                    </w:rPr>
                    <w:t>зовательных организаций на данные цели направлено 20021873,92 рублей. Всего расходы местного бюджета на организацию и обеспечение питанием воспитанников и обучающихся дошкольных и общеобразовательных учреждений Шпаковского муниципального района Ставропольс</w:t>
                  </w:r>
                  <w:r>
                    <w:rPr>
                      <w:color w:val="000000"/>
                      <w:sz w:val="28"/>
                      <w:szCs w:val="28"/>
                    </w:rPr>
                    <w:t>кого края составили в общей сумме 55422126,41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Для организации учебного процесса учащихся, проживающих в сельских населенных пунктах, в которых отсутствуют общеобразовательные организации, в Шпаковском районе организован подвоз 828 учащихся. Подвоз организуют 12 общеобразовательных организаций. О</w:t>
                  </w:r>
                  <w:r>
                    <w:rPr>
                      <w:color w:val="000000"/>
                      <w:sz w:val="28"/>
                      <w:szCs w:val="28"/>
                    </w:rPr>
                    <w:t>бщая сумма бюджетных ассигнований за счет средств местного бюджета на подвоз составила 3696234,12 рублей. Кассовое исполнение сложилось в объеме 3651335,07 рублей или 98,78%.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2019 году в летних пришкольных лагерях отдохнули 4606 детей. На организац</w:t>
                  </w:r>
                  <w:r>
                    <w:rPr>
                      <w:color w:val="000000"/>
                      <w:sz w:val="28"/>
                      <w:szCs w:val="28"/>
                    </w:rPr>
                    <w:t>ию и проведение каникулярного отдыха, трудовой занятости детей и подростков во внеурочное время израсходовано 10233108,30 рублей. Кроме того, в районе организована летняя занятость 208 учащихся.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ходе реализации муниципальной программы Шпаковского м</w:t>
                  </w:r>
                  <w:r>
                    <w:rPr>
                      <w:color w:val="000000"/>
                      <w:sz w:val="28"/>
                      <w:szCs w:val="28"/>
                    </w:rPr>
                    <w:t>униципального района Ставропольского края «Социальная поддержка граждан» социальной помощью по оплате жилых помещений, отопления и освещения воспользовались в 2019 году: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156 педагогических работников дошкольных образовательных учреждений, из которых </w:t>
                  </w:r>
                  <w:r>
                    <w:rPr>
                      <w:color w:val="000000"/>
                      <w:sz w:val="28"/>
                      <w:szCs w:val="28"/>
                    </w:rPr>
                    <w:t>18 пенсионеров и 138 педагогических работников, расходы по обязательствам бюджета исполнены в полном объеме в сумме 4895417,60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404 педагогических работника общеобразовательных учреждений, из которых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43 пенсионера и 361 педагогический работник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Расходы по обязательствам бюджета исполнены в сумме 13165926,00 рублей или 100 % от годовых плановых назначений.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качестве мер социальной поддержки отдельным категориям граждан предусмотрены льготы по оплате за содержание детей в дошкольны</w:t>
                  </w:r>
                  <w:r>
                    <w:rPr>
                      <w:color w:val="000000"/>
                      <w:sz w:val="28"/>
                      <w:szCs w:val="28"/>
                    </w:rPr>
                    <w:t>х образовательных учреждениях. В 2019 году оказывалась материальная поддержка родителям в воспитании и обучении детей, посещающих образовательные организации, реализующие образовательную программу дошкольного образования в виде компенсации части родительск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ой платы. Такие выплаты в общей сумме 19294804,64 рублей за отчетный период получили 6138 родителя.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Выплаты денежных средств на содержание 99 детей, находящихся под опекой, в 2019 году получали 90 опекунов. Расходы по обязательствам бюджета исполнен</w:t>
                  </w:r>
                  <w:r>
                    <w:rPr>
                      <w:color w:val="000000"/>
                      <w:sz w:val="28"/>
                      <w:szCs w:val="28"/>
                    </w:rPr>
                    <w:t>ы в сумме 8077767,48 рублей или 100% годовых плановых назначений.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Шпаковском районе в 2019 году функционировали 52 приемные семьи. Численность детей в приемных семьях составила 85 человек. Расходы на содержание детей-сирот и детей, оставшихся без п</w:t>
                  </w:r>
                  <w:r>
                    <w:rPr>
                      <w:color w:val="000000"/>
                      <w:sz w:val="28"/>
                      <w:szCs w:val="28"/>
                    </w:rPr>
                    <w:t>опечения родителей, в приемных семьях, а также на вознаграждение, причитающееся приемным родителям исполнены в сумме 16446009,90 рублей. Единовременное пособие получили 5 усыновителей. Размер единовременного пособия на одного ребенка составил 150000,00 руб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лей. Расходы по обязательствам бюджета исполнены в сумме 750000,00 рублей.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рамках реализации мероприятий муниципальной программы «Профилактика терроризма и экстремизма на территории Шпаковского муниципального района» семь образовательных организац</w:t>
                  </w:r>
                  <w:r>
                    <w:rPr>
                      <w:color w:val="000000"/>
                      <w:sz w:val="28"/>
                      <w:szCs w:val="28"/>
                    </w:rPr>
                    <w:t>ий Шпаковского района оборудованы системами видеонаблюдения на общую сумму 884736,44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соответствии с постановлением Правительства Ставропольского края от 19 сентября 2019 года № 413-п «Об утверждении Порядка распределения и предоставления из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бюджета Ставропольского края иных межбюджетных трансфертов бюджетам муниципальных образований Ставропольского края на приобретение новогодних подарков детям, обучающимся по образовательным программам начального общего образования в муниципальных и частных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образовательных организациях Ставропольского края», постановлением Правительства Ставропольского края от 20 ноября 2019 года № 512-п «Об утверждении распределения из бюджета Ставропольского края иных межбюджетных трансфертов бюджетам муниципальных образов</w:t>
                  </w:r>
                  <w:r>
                    <w:rPr>
                      <w:color w:val="000000"/>
                      <w:sz w:val="28"/>
                      <w:szCs w:val="28"/>
                    </w:rPr>
                    <w:t>аний Ставропольского края в 2019 году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края» в бюджет Шпаковского муниц</w:t>
                  </w:r>
                  <w:r>
                    <w:rPr>
                      <w:color w:val="000000"/>
                      <w:sz w:val="28"/>
                      <w:szCs w:val="28"/>
                    </w:rPr>
                    <w:t>ипального района выделено 3960500,00 рублей. Приобретено 7921 новогодних подарка учащимся начальных классов общеобразовательных организаций на сумму 3944934,70 рублей. Подарки учащимся закуплены в полном объеме. Остаток денежных средств в сумме 15563,30 ру</w:t>
                  </w:r>
                  <w:r>
                    <w:rPr>
                      <w:color w:val="000000"/>
                      <w:sz w:val="28"/>
                      <w:szCs w:val="28"/>
                    </w:rPr>
                    <w:t>блей сложился как экономия в результате закупочных процедур и возвращен в доход краевого бюджета.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рамках реализации подпрограммы «Государственная поддержка отрасли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культуры» государственной программы Ставропольского края «Сохранение и развитие куль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туры» Шпаковскому муниципальному району выделена субсидия на комплектование книжных фондов библиотек муниципальных образований Ставропольского края. Расходы за счет средств федерального бюджета составили 42934,10 рублей; за счет средств краевого бюджета – </w:t>
                  </w:r>
                  <w:r>
                    <w:rPr>
                      <w:color w:val="000000"/>
                      <w:sz w:val="28"/>
                      <w:szCs w:val="28"/>
                    </w:rPr>
                    <w:t>214091,93 рублей, за счет средств местного бюджета – 257026,03 рублей. В общем объеме расходы составили 51452,06 рублей, приобретено 3390 книг. В результате освоения средств доля новых поступлений в библиотечный фонд библиотек муниципальных образований Шпа</w:t>
                  </w:r>
                  <w:r>
                    <w:rPr>
                      <w:color w:val="000000"/>
                      <w:sz w:val="28"/>
                      <w:szCs w:val="28"/>
                    </w:rPr>
                    <w:t>ковского муниципального района составила 1,7%, условия заключенного соглашения выполнены в полном объеме.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рамках реализации национального проекта «Культура», подпрограммы «Государственная поддержка отрасли культуры», государственной программы Ставр</w:t>
                  </w:r>
                  <w:r>
                    <w:rPr>
                      <w:color w:val="000000"/>
                      <w:sz w:val="28"/>
                      <w:szCs w:val="28"/>
                    </w:rPr>
                    <w:t>опольского края «Сохранение и развитие культуры» с целью обеспечения мероприятий по созданию и модернизации муниципальных учреждений культурно – досугового типа в сельской местности, включая обеспечение инфраструктуры (в части капитального ремонта зданий д</w:t>
                  </w:r>
                  <w:r>
                    <w:rPr>
                      <w:color w:val="000000"/>
                      <w:sz w:val="28"/>
                      <w:szCs w:val="28"/>
                    </w:rPr>
                    <w:t>анных учреждений) на территории Шпаковского района Ставропольского края в отчетном периоде произведены следующие работы: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капитальный ремонт здания Дома культуры в селе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Сенгилеевском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края. Затраты по данному объекту </w:t>
                  </w:r>
                  <w:r>
                    <w:rPr>
                      <w:color w:val="000000"/>
                      <w:sz w:val="28"/>
                      <w:szCs w:val="28"/>
                    </w:rPr>
                    <w:t>составили в общей сумме 13512000,00 рублей, из которых 12701279,37 рублей – средства федерального бюджета, 801720,63 рублей – средства краевого бюджета;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капитальный ремонт здания Дома культуры в муниципальном образовании Цимлянского сельсовета Шпаков</w:t>
                  </w:r>
                  <w:r>
                    <w:rPr>
                      <w:color w:val="000000"/>
                      <w:sz w:val="28"/>
                      <w:szCs w:val="28"/>
                    </w:rPr>
                    <w:t>ского района Ставропольского края. Затраты по данному объекту составили в общей сумме 11056900,00 рублей, из которых 10393485,48 рублей – средства федерального бюджета, 663414,52 рублей – средства краевого бюджета.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Расходы на формирование, содержание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и использование архивного фонда за счет средств краевого бюджета составили 1436420,40 рублей, выделенная субвенция использована на 100%.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отчетном периоде Шпаковский муниципальный район Ставропольского края стал участником проведения эксперимента,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направленного на развитие садоводства в личных подсобных хозяйствах и увеличение на территории Ставропольского края плодовой продукции. Так, в соответствии с законами Ставропольского края «О государственной поддержке в сфере развития сельского хозяйства в </w:t>
                  </w:r>
                  <w:r>
                    <w:rPr>
                      <w:color w:val="000000"/>
                      <w:sz w:val="28"/>
                      <w:szCs w:val="28"/>
                    </w:rPr>
                    <w:t>Ставропольском крае» и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хозяйства», за счет средств бюджета Ставропольского края д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вадцати пяти гражданам, ведущим личные подсобные хозяйства на территории района, предоставлены гранты в виде субсидий на закладку сада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суперинтенсивного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типа. Общая сумма предоставленных субсидий составила 10000000,00 рублей. Получателям грантов высажены 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блоневые сады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суперинтенсивного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типа.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рамках реализации национального проекта «Безопасные и качественные автомобильные дороги» в 2019 году в Шпаковском районе Ставропольского края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осуществлялись следующие мероприятия регионального проекта «Дорожная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сеть»: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ремонт автомобильных дорог общего пользования местного значения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Верхнедубовский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примыкание к автомобильной дороге Шпаковское – Дубовка - Казинка», «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Липовчанский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Темнолесская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примыкание к автомобильной дороге - подъезд к городу Ставрополю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от автомобильной дороги Кавказ» общей протяженностью 30 километров 918 метров на общую сумму 105263157,89 рублей, из которых 70303030,30 рублей – средства федерального бюджета, 29696969,70 рублей – средства бюджета Ставропольского края, 5263157,89 рублей </w:t>
                  </w:r>
                  <w:r>
                    <w:rPr>
                      <w:color w:val="000000"/>
                      <w:sz w:val="28"/>
                      <w:szCs w:val="28"/>
                    </w:rPr>
                    <w:t>– средства местного бюджета;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ремонт участков автомобильных дорог в городе Михайловске по улицам Выставочная, Гагарина, Октябрьская, Коллективная, Пушкина, Вокзальная, Орджоникидзе общей протяженностью 8 километров 610 метров на общую сумму 157894736,</w:t>
                  </w:r>
                  <w:r>
                    <w:rPr>
                      <w:color w:val="000000"/>
                      <w:sz w:val="28"/>
                      <w:szCs w:val="28"/>
                    </w:rPr>
                    <w:t>80 рублей, из которых 105454545,43 рублей – средства федерального бюджета, 44545454,53 рублей – средства бюджета Ставропольского края, 7894736,84 рублей – средства местного бюджета.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За счет выделенных из бюджета Ставропольского края субсидий на строи</w:t>
                  </w:r>
                  <w:r>
                    <w:rPr>
                      <w:color w:val="000000"/>
                      <w:sz w:val="28"/>
                      <w:szCs w:val="28"/>
                    </w:rPr>
                    <w:t>тельство и реконструкцию, капитальный ремонт и ремонт автомобильных дорог общего пользования населенных пунктов в рамках реализации мероприятий подпрограммы «Дорожное хозяйство и транспортная система» государственной программы Ставропольского края «Развити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 транспортной системы» в размере 127091848,37 рублей средств краевого бюджета, а также средств местных бюджетов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 размере 12356943,39 рублей выполнены следующие работы: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разработка проектно-сметной документации на реконс</w:t>
                  </w:r>
                  <w:r>
                    <w:rPr>
                      <w:color w:val="000000"/>
                      <w:sz w:val="28"/>
                      <w:szCs w:val="28"/>
                    </w:rPr>
                    <w:t>трукцию уличной дорожной сети в городе Михайловске Шпаковского района Ставропольского края – автомобильная дорога от улицы Ставропольской до «Северного обхода» на общую сумму 35976370,00 рублей, из которых 33997669,65 рублей – средства бюджета Ставропольск</w:t>
                  </w:r>
                  <w:r>
                    <w:rPr>
                      <w:color w:val="000000"/>
                      <w:sz w:val="28"/>
                      <w:szCs w:val="28"/>
                    </w:rPr>
                    <w:t>ого края, 1978700,35 рублей – средства местного бюджета;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ремонт автомобильных дорог общего пользования местного значения города Михайловска Шпаковского района Ставропольского края – улица Войкова (от ул. Коллективной до ул. Заводской) (0,572км), улица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Заводская (от ул. Войкова до ул. Ставропольской) (0,115 км), расходы по данным объектам в общей сумме составили 36153915,60 рублей, из которых 29347474,18 рублей – средства краевого бюджета, 6806441,42 рублей – средства местного бюджета;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ремонт авто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мобильной дороги по улице Степная (0,431 км) в х.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Демино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края на общую сумму 1300850,00рублей, из которых 1235763,48 рублей - средства бюджета Ставропольского края, 65086,52 рублей - средства местного бюджета;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ремон</w:t>
                  </w:r>
                  <w:r>
                    <w:rPr>
                      <w:color w:val="000000"/>
                      <w:sz w:val="28"/>
                      <w:szCs w:val="28"/>
                    </w:rPr>
                    <w:t>т участка автодороги по ул. Ленина – отмыкание от автомобильной дороги Михайловск – Казинка – Грачевка – до дома №223 (3,300 км) на сумму 14465695,39 рублей, из которых 13742410,62 рублей – средства краевого бюджета, 723284,77 рублей – средства местного бю</w:t>
                  </w:r>
                  <w:r>
                    <w:rPr>
                      <w:color w:val="000000"/>
                      <w:sz w:val="28"/>
                      <w:szCs w:val="28"/>
                    </w:rPr>
                    <w:t>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ремонт автомобильных дорог общего пользования местного значения села Надежда Шпаковского района Ставропольского края – улица Свободная от дома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№80 до №138 (0,886 км), улица Свободная от дома №1 до №24 (0,620 км), улица Шоссейная (1,195 км) на </w:t>
                  </w:r>
                  <w:r>
                    <w:rPr>
                      <w:color w:val="000000"/>
                      <w:sz w:val="28"/>
                      <w:szCs w:val="28"/>
                    </w:rPr>
                    <w:t>общую сумму 19303535,99 рублей, из которых 18327532,84 рублей – средства бюджета Ставропольского края, 976003,15 рублей – средства местного бюджета;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ремонт участка №1 автомобильной дороги общего пользования местного значения по ул. Партизанская (от у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л. Ленина) в селе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края (1,4 км), общая сумма затрат составила 14642802,10 рублей, из которых 13910662,00 рублей – средства краевого бюджета, 732140,10 рублей – средства местного бюджета;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ремонт автомобильно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й дороги общего пользования местного значения в селе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Сенгилеевском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– ул. Мира (1,774 км) на общую сумму 5099761,00 рублей, из которых 4680328,47 рублей – средства краевого бюджета, 419432,53 рублей – средства местного бюд</w:t>
                  </w:r>
                  <w:r>
                    <w:rPr>
                      <w:color w:val="000000"/>
                      <w:sz w:val="28"/>
                      <w:szCs w:val="28"/>
                    </w:rPr>
                    <w:t>жета;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ремонт автомобильных дорог общего пользования местного значения в селе Татарка Шпаковского района Ставропольского - ул. Чехова, ул. Совхозная (от дома №10), ул. Строителей (от ул. Чернышевская) общей протяженностью 1,269 км. Расходы сложились в объем</w:t>
                  </w:r>
                  <w:r>
                    <w:rPr>
                      <w:color w:val="000000"/>
                      <w:sz w:val="28"/>
                      <w:szCs w:val="28"/>
                    </w:rPr>
                    <w:t>е 6155199,38 рублей, в том числе за счет средств бюджета Ставропольского края 5846912,87 рублей, за счет средств местного бюджета – 308286,51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ремонт автомобильной дороги общего пользования местного значения в станице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Темнолесской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</w:t>
                  </w:r>
                  <w:r>
                    <w:rPr>
                      <w:color w:val="000000"/>
                      <w:sz w:val="28"/>
                      <w:szCs w:val="28"/>
                    </w:rPr>
                    <w:t>района Ставропольского – ул. Сенная (0,831 км), участка автомобильной дороги по ул. Новая (от дома №1 до дома №11 и от дома №15 до ул. Центральная) (0,7 км) на общую сумму 6350662,30 рублей, из которых 6003094,26 рублей – средства краевого бюджета, 347568,</w:t>
                  </w:r>
                  <w:r>
                    <w:rPr>
                      <w:color w:val="000000"/>
                      <w:sz w:val="28"/>
                      <w:szCs w:val="28"/>
                    </w:rPr>
                    <w:t>04 рублей – средства местного бюджета.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собственности Шпаковского муниципального района находится 11 автомобильных дорог, общей протяженностью 94 километра. В 2019 году на работы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по зимнему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>, весенне-летнему содержанию автомобильных дорог общего поль</w:t>
                  </w:r>
                  <w:r>
                    <w:rPr>
                      <w:color w:val="000000"/>
                      <w:sz w:val="28"/>
                      <w:szCs w:val="28"/>
                    </w:rPr>
                    <w:t>зования произведено затрат в объеме 10917044,04 рублей. В рамках ведомственных целевых программ «Повышение безопасности дорожного движения в Шпаковском районе на 2018-2020 годы» и «Развитие дорожного хозяйства Шпаковского муниципального района Ставропольск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ого края» приобретен остановочный павильон на сумму 95000,00 рублей, установлено три искусственных неровности на сумму 41640,69 рублей закуплены дорожные знаки на сумму 5536,00 рублей и разработана комплексная схема организации дорожного движения на сумму </w:t>
                  </w:r>
                  <w:r>
                    <w:rPr>
                      <w:color w:val="000000"/>
                      <w:sz w:val="28"/>
                      <w:szCs w:val="28"/>
                    </w:rPr>
                    <w:t>175000,00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рамках реализации национального проекта «Жилье и городская среда» в 2019 году в городе Михайловск Шпаковского района Ставропольского края осуществлялись следующие мероприятия регионального проекта «Формирование комфортной городско</w:t>
                  </w:r>
                  <w:r>
                    <w:rPr>
                      <w:color w:val="000000"/>
                      <w:sz w:val="28"/>
                      <w:szCs w:val="28"/>
                    </w:rPr>
                    <w:t>й среды» по благоустройству мест массового отдыха населения, общественных территорий: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благоустройство мемориального комплекса «Огонь Вечной Славы», расположенного по адресу: г. Михайловск, площадь Победы – 5639,8 квадратных метров на сумму 36006959,3</w:t>
                  </w:r>
                  <w:r>
                    <w:rPr>
                      <w:color w:val="000000"/>
                      <w:sz w:val="28"/>
                      <w:szCs w:val="28"/>
                    </w:rPr>
                    <w:t>9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ремонт пешеходной зоны по ул. Ленина (2-я очередь) – 1 560,7 квадратных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метров на сумму 9964194,03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Общая сумма расходов на реализацию национального проекта «Жилье и городская среда» составила 45971153,42 рублей, из которых 414</w:t>
                  </w:r>
                  <w:r>
                    <w:rPr>
                      <w:color w:val="000000"/>
                      <w:sz w:val="28"/>
                      <w:szCs w:val="28"/>
                    </w:rPr>
                    <w:t>65916,77 рублей – средства федерального бюджета, 1976823,21 рублей – средства краевого бюджета, 2528413,44 рублей – средства местного бюджета.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2019 году муниципальным образованиям Шпаковского района Ставропольского края выделены субсидии из федерал</w:t>
                  </w:r>
                  <w:r>
                    <w:rPr>
                      <w:color w:val="000000"/>
                      <w:sz w:val="28"/>
                      <w:szCs w:val="28"/>
                    </w:rPr>
                    <w:t>ьного и краевого бюджетов на предоставление молодым семьям, являющимся на 01 января 2019 года участниками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</w:t>
                  </w:r>
                  <w:r>
                    <w:rPr>
                      <w:color w:val="000000"/>
                      <w:sz w:val="28"/>
                      <w:szCs w:val="28"/>
                    </w:rPr>
                    <w:t>оммунальными услугами граждан Российской Федерации», проживающим на территории Ставропольского края, социальных выплат на приобретение (строительство) жилья в рамках реализации подпрограммы «Создание условий для обеспечения доступным и комфортным жильем гр</w:t>
                  </w:r>
                  <w:r>
                    <w:rPr>
                      <w:color w:val="000000"/>
                      <w:sz w:val="28"/>
                      <w:szCs w:val="28"/>
                    </w:rPr>
                    <w:t>аждан в Ставропольском крае» государственной программы Ставропольского края «Развитие градостроительства, строительства и архитектуры». Всего в отчетном периоде на эти цели в бюджетах поселений предусмотрено средств федерального бюджета - 357759,82 рублей,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средств краевого бюджета - 69315284,92 рубля, средств местных бюджетов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- 4786952,00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ходе реализации указанного мероприятия в Шпаковском районе жильем обеспечены 90 молодых семей, в том числе: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городе Мих</w:t>
                  </w:r>
                  <w:r>
                    <w:rPr>
                      <w:color w:val="000000"/>
                      <w:sz w:val="28"/>
                      <w:szCs w:val="28"/>
                    </w:rPr>
                    <w:t>айловске 69 семей;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Дёминском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сельсовете 6 семей;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Дубовском сельсовете 4 семьи;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Казинском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сельсовете 3 семьи;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Надеждинском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сельсовете 3 семьи;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Пелагиадском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селсовете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3 семьи;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Татарском сельсовете 1 семья;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Цимлянском сельсовете 1 семья.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Кассовое исполнение в отчетном периоде сложилось в общей сумме 70471934,40 рублей, из которых за счет средств федерального бюджета - 357759,82 рубля, за счет средств краевого бюджета - 66590537,86 рублей, за сче</w:t>
                  </w:r>
                  <w:r>
                    <w:rPr>
                      <w:color w:val="000000"/>
                      <w:sz w:val="28"/>
                      <w:szCs w:val="28"/>
                    </w:rPr>
                    <w:t>т средств местного бюджета - 3523636,72 рубля. Отклонение фактического исполнения от плановых назначений на 5,36% обусловлено непредставлением получателями субсидии документов, подтверждающих приобретение (строительство) жилья, для оплаты выданных извещени</w:t>
                  </w:r>
                  <w:r>
                    <w:rPr>
                      <w:color w:val="000000"/>
                      <w:sz w:val="28"/>
                      <w:szCs w:val="28"/>
                    </w:rPr>
                    <w:t>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По итогам рассмотрения проектов развития территорий муниципальных образований Ставропольского края, основанных на местных инициативах, в рамках государственной программы Ставропольского края «Управление финансами» в 2019 году реализованы проекты ра</w:t>
                  </w:r>
                  <w:r>
                    <w:rPr>
                      <w:color w:val="000000"/>
                      <w:sz w:val="28"/>
                      <w:szCs w:val="28"/>
                    </w:rPr>
                    <w:t>звития территорий следующих муниципальных образований Шпаковского района Ставропольского края: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Бюджету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Деминского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 в 2019 году из бюджета Ставропольского края выделена субси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дия в размере 1988641,38 рублей. С использованием средств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местного бюджета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 размере 507015,06 рублей, а также за счет привлеченных средств физических лиц и индивидуальных предпринимателей в сумме 341000,00 рублей произведено б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лагоустройство парка «Радужный» (2-й этап) хутора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Демино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Деминского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края. При реализации проекта были проведены следующие мероприятия: строительство пешеходных дорожек площадью 720 квадратных метров, установка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бульварной скамьи в количестве семи штук, установка металлических урн в количестве восьми штук, установка девяти фонарей уличного освещения. Общая стоимость проекта составила 2836656,44 рублей. По итогам года степень реализации проекта развития территории </w:t>
                  </w: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 составила 100 %.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Бюджету муниципального образования станицы Новомарьевской Шпаковского района Ставропольского края в 2019 году из бюджета Ставропольского края выделена субсидия в размере 1555626,87 рублей. С использованием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средств местного бюджета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 размере 528913,13 рублей, а также за счет привлеченных средств физических лиц и индивидуальных предпринимателей в сумме 454000,00 рублей произведено «Благоустройство центра станицы Новомарьевской Шпак</w:t>
                  </w:r>
                  <w:r>
                    <w:rPr>
                      <w:color w:val="000000"/>
                      <w:sz w:val="28"/>
                      <w:szCs w:val="28"/>
                    </w:rPr>
                    <w:t>овского района Ставропольского края». В ходе реализации проекта площадь и тротуарные дорожки общей площадью 970 квадратных метров вымощены тротуарной плиткой, установлены светильники в количестве шести штук, восемь уличных скамеек, восемь уличных урн, пров</w:t>
                  </w:r>
                  <w:r>
                    <w:rPr>
                      <w:color w:val="000000"/>
                      <w:sz w:val="28"/>
                      <w:szCs w:val="28"/>
                    </w:rPr>
                    <w:t>еден ремонт асфальтового покрытия площадью 1200 квадратных метров. На площади установлен памятный знак «Погибшим воинам» и тумба с вечным огнем. Общая стоимость проекта составила 2538540,00 рублей. По итогам года степень реализации проекта развития террито</w:t>
                  </w:r>
                  <w:r>
                    <w:rPr>
                      <w:color w:val="000000"/>
                      <w:sz w:val="28"/>
                      <w:szCs w:val="28"/>
                    </w:rPr>
                    <w:t>рии муниципального образования составила 100 %.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Бюджету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 в 2019 году из бюджета Ставропольского края выделена субсидия в размере 2000000,00 рублей. С использов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анием средств местного бюджета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 размере 510000,00 рублей, а также за счет привлеченных средств физических лиц и средств организаций в сумме 401250,00 рублей произведено приобретение коммунальной техники для благоустройства тер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ритории села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края. При реализации проекта был приобретен Экскаватор-погрузчик АМКОДОР 702ЕМ-03. Общая стоимость проекта составила 2911250,00 рублей. По итогам года степень реализации про</w:t>
                  </w:r>
                  <w:r>
                    <w:rPr>
                      <w:color w:val="000000"/>
                      <w:sz w:val="28"/>
                      <w:szCs w:val="28"/>
                    </w:rPr>
                    <w:t>екта развития территории муниципального образования составила 100 %.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Бюджету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Сенгилеевского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 в 2019 году из бюджета Ставропольского края выделена субсидия в размере 1008996,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07 рублей. С использованием средств местного бюджета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 размере 395073,43 рублей, а также за счет привлеченных средств физических лиц и индивидуальных предпринимателей в сумме 236300,00 рублей произведен ремонт участка автомобил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ьной дороги общего пользования местного значения по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ул. Лермонтова в селе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Сенгилеевское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Сенгилеевского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 Шпаковского района Ставропольского края. Общая стоимость проекта составила 1640369,50 рублей. По итогам года степень реализации проекта развит</w:t>
                  </w:r>
                  <w:r>
                    <w:rPr>
                      <w:color w:val="000000"/>
                      <w:sz w:val="28"/>
                      <w:szCs w:val="28"/>
                    </w:rPr>
                    <w:t>ия территории муниципального образования составила 100 %.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Бюджету муниципального образования Татарского сельсовета Шпаковского района Ставропольского края в 2019 году из бюджета Ставропольского края выделена субсидия в размере 1328661,64 рубля. С исп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ользованием средств местного бюджета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 размере 179932,67 рублей, а также за счет привлеченных средств физических лиц, индивидуальных предпринимателей и организаций в сумме 400000,00 рублей. Произведено благоустройство наиболее </w:t>
                  </w:r>
                  <w:r>
                    <w:rPr>
                      <w:color w:val="000000"/>
                      <w:sz w:val="28"/>
                      <w:szCs w:val="28"/>
                    </w:rPr>
                    <w:t>посещаемых муниципальных территорий (Парковая зона) в селе Татарка Татарского сельсовета Шпаковского района Ставропольского края. Установлены скамейки, беседка, разбиты пешеходные зоны, заасфальтирована площадка для игр. Обустроены две пешеходные дорожки -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 ул. Ленина – 240 квадратных метров и подход к спортивной площадке – 184 квадратных метра. Приобретены и установлены в хуторе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Верхнеегорлыкский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спортивные тренажеры. Общая стоимость проекта составила 1908594,31 рублей. По итогам года степень реализации </w:t>
                  </w:r>
                  <w:r>
                    <w:rPr>
                      <w:color w:val="000000"/>
                      <w:sz w:val="28"/>
                      <w:szCs w:val="28"/>
                    </w:rPr>
                    <w:t>проекта развития территории муниципального образования составила 100 %.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Бюджету муниципального образования город Михайловск Шпаковского района Ставропольского края в 2019 году из бюджета Ставропольского края выделена субсидия в размере 973899,00 рубл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ей. С использованием средств местного бюджета на условиях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софинансирования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в размере 335000,00 рублей, а также за счет привлеченных средств физических лиц и средства организаций в сумме 175000,00 рублей произведен ремонт окон в муниципальном казенном учреж</w:t>
                  </w:r>
                  <w:r>
                    <w:rPr>
                      <w:color w:val="000000"/>
                      <w:sz w:val="28"/>
                      <w:szCs w:val="28"/>
                    </w:rPr>
                    <w:t>дении культуры «Социально- культурное объединение» города Михайловска - ДК им. В.И. Книга, расположенном по адресу: Ставропольский край, Шпаковский район, город Михайловск, ул. Орджоникидзе,246. Общая стоимость проекта составила 1483899,00 рублей. По итога</w:t>
                  </w:r>
                  <w:r>
                    <w:rPr>
                      <w:color w:val="000000"/>
                      <w:sz w:val="28"/>
                      <w:szCs w:val="28"/>
                    </w:rPr>
                    <w:t>м года степень реализации проекта развития территории муниципального образования составила 100 %.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Общая стоимость реализованных проектов развития территорий муниципальных образований Шпаковского района Ставропольского края, основанных на местных иниц</w:t>
                  </w:r>
                  <w:r>
                    <w:rPr>
                      <w:color w:val="000000"/>
                      <w:sz w:val="28"/>
                      <w:szCs w:val="28"/>
                    </w:rPr>
                    <w:t>иативах по итогам 2019 года составила 13319309,25 рублей, из которых за счет средств субсидии из бюджета Ставропольского края 8855824,96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</w:t>
                  </w:r>
                </w:p>
              </w:tc>
            </w:tr>
          </w:tbl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E04285">
        <w:tc>
          <w:tcPr>
            <w:tcW w:w="10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0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01"/>
            </w:tblGrid>
            <w:tr w:rsidR="00E04285">
              <w:tc>
                <w:tcPr>
                  <w:tcW w:w="100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При плановых назначениях на 2019 год по доходной части бюджета 4109019370,44 рублей в бюджет Шпаковского района поступило доходов в сумме 3967432548,84 рублей, исполнение составило 96,55%. Показатели доходов бюджета, по которым объем недополученных д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оходов относительно плановых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(прогнозных) назначений составил 300000000,00 рублей и более отсутствуют.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При плановых назначениях на 2019 год в объеме 4284683093,24 рублей, расходная часть консолидированного бюджета выполнена на 92,75%, в денежном выраж</w:t>
                  </w:r>
                  <w:r>
                    <w:rPr>
                      <w:color w:val="000000"/>
                      <w:sz w:val="28"/>
                      <w:szCs w:val="28"/>
                    </w:rPr>
                    <w:t>ении исполнение консолидированного бюджета по расходам составило 3974141666,25 рублей. Показатели расходов бюджета, по которым сумма неисполненных назначений составляет 300000000,00 рублей и более отсутствуют.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 связи с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перенумерацией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счетов на балан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совом счете №40204 «Средства местных бюджетов» образовалось расхождение между формами 0503152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« Консолидированный</w:t>
                  </w:r>
                  <w:proofErr w:type="gramEnd"/>
                  <w:r>
                    <w:rPr>
                      <w:color w:val="000000"/>
                      <w:sz w:val="28"/>
                      <w:szCs w:val="28"/>
                    </w:rPr>
                    <w:t xml:space="preserve"> отчет о кассовых поступлениях и выбытиях» Федерального казначейства и 0503317 «Отчет об исполнении консолидированного бюджета субъекта РФ и бю</w:t>
                  </w:r>
                  <w:r>
                    <w:rPr>
                      <w:color w:val="000000"/>
                      <w:sz w:val="28"/>
                      <w:szCs w:val="28"/>
                    </w:rPr>
                    <w:t>джета ТГВФ» в части источников финансирования дефицита бюджета: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коду строки 710 и 720 в графе 26 в сумме 132826082,21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коду строки 710 и 720 в графе 27 в сумме 9610471,29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коду строки 710 и 720 в графе 28 в сумме 20</w:t>
                  </w:r>
                  <w:r>
                    <w:rPr>
                      <w:color w:val="000000"/>
                      <w:sz w:val="28"/>
                      <w:szCs w:val="28"/>
                    </w:rPr>
                    <w:t>855225,77 рублей (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Верхнерусский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в сумме 3066606,05 рублей;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Деминский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в сумме 2048031,73 рублей;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Дубовский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1065110,84 рублей;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Казинский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в сумме 1377657,73 рублей;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Надеждинский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в сумме 3022531,78 рублей; ст. Новомарьевская в сумме 90386,6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1 рублей;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в сумме 2200093,07 рублей;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Сенгилеевский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в сумме 1173332,24 рублей; Татарский с/с в сумме 4805111,48 рублей;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Темнолесский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в сумме 516023,48 рублей;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Цимлянский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с/с в сумме 1490340,76 рублей).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</w:t>
                  </w:r>
                </w:p>
              </w:tc>
            </w:tr>
          </w:tbl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E04285">
        <w:tc>
          <w:tcPr>
            <w:tcW w:w="10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«Анализ пок</w:t>
            </w:r>
            <w:r>
              <w:rPr>
                <w:b/>
                <w:bCs/>
                <w:color w:val="000000"/>
                <w:sz w:val="28"/>
                <w:szCs w:val="28"/>
              </w:rPr>
              <w:t>азателей бухгалтерской отчетности субъекта бюджетной отчетности»</w:t>
            </w:r>
          </w:p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0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01"/>
            </w:tblGrid>
            <w:tr w:rsidR="00E04285">
              <w:tc>
                <w:tcPr>
                  <w:tcW w:w="100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Годовая бюджетная отчетность за 2019 год формировалась в соответствии с требованиями Инструкции о порядке составления и представления, квартальной и месячной бюджетной отчетности об 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сполнении бюджетов бюджетной системы Российской Федерации, утвержденной приказом Министерства финансов Российской Федерации от 28.12.2010 № 191н, с учетом применения федеральных стандартов бухгалтерского учета для государственных муниципальных учреждений, </w:t>
                  </w:r>
                  <w:r>
                    <w:rPr>
                      <w:color w:val="000000"/>
                      <w:sz w:val="28"/>
                      <w:szCs w:val="28"/>
                    </w:rPr>
                    <w:t>обязательных к применению в отчетности за 2019 год.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События после отчетной даты до представления бюджетной отчетности за 2019 год в учреждения Шпаковского района не возникали.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Информация о движении нефинансовых активов представлена в форме 0503368 «Сведения о движении нефинансовых активов консолидированного бюджета».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Остаток на начало 2019 года по счету 110100000 «Основные средства» составил 1260055527,15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</w:t>
                  </w:r>
                  <w:r>
                    <w:rPr>
                      <w:color w:val="000000"/>
                      <w:sz w:val="28"/>
                      <w:szCs w:val="28"/>
                    </w:rPr>
                    <w:t>   В течение 2019 года было приобретено и получено основных средств на сумму 898570575,08 рублей, в том числе: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нежилые помещения (здания и сооружения) (нежилые помещения – введенные в эксплуатацию новые объекты социальной инфраструктуры, сооружения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 xml:space="preserve">инженерной инфраструктуры, пешеходные дорожки, спортивные площадки, сооружения автодороги и тротуарные дорожки) </w:t>
                  </w:r>
                  <w:r>
                    <w:rPr>
                      <w:color w:val="000000"/>
                      <w:sz w:val="28"/>
                      <w:szCs w:val="28"/>
                    </w:rPr>
                    <w:t>на сумму 844579471,87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машины и оборудование на сумму 14688501,26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транспортные средства (автобусы, автомобили) на сумму 19840017,65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инвентарь производственный и хозяйственный на сумму 4732190,27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прочие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основные средства на сумму 14730394,03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Списано и передано объектов основных средств на сумму 817741203,49 рублей, из них в муниципальную казну в сумме 100932846,57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Остаток основных средств по состоянию на 01.01.2020 составил в </w:t>
                  </w:r>
                  <w:r>
                    <w:rPr>
                      <w:color w:val="000000"/>
                      <w:sz w:val="28"/>
                      <w:szCs w:val="28"/>
                    </w:rPr>
                    <w:t>сумме 1340884898,74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Амортизация основных средств по состоянию на 01.01.2020 составила 80,6%, из них: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амортизация жилых помещений – 69,6%;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амортизация нежилых помещений (зданий и сооружений) – 79,5%;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амортизация машин и обору</w:t>
                  </w:r>
                  <w:r>
                    <w:rPr>
                      <w:color w:val="000000"/>
                      <w:sz w:val="28"/>
                      <w:szCs w:val="28"/>
                    </w:rPr>
                    <w:t>дования – 83,8%;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амортизация транспортных средств – 73,6%;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амортизация инвентаря производственного и хозяйственного – 93,5%;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амортизация прочих основных средств – 93,9%.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Остаток на конец отчетного года по строке 262 «Права пользован</w:t>
                  </w:r>
                  <w:r>
                    <w:rPr>
                      <w:color w:val="000000"/>
                      <w:sz w:val="28"/>
                      <w:szCs w:val="28"/>
                    </w:rPr>
                    <w:t>ия нефинансовыми активами» в сумме 22840724,51 рублей сложился по Управлению труда и социальной защиты населения Шпаковского муниципального района Ставропольского края по договору безвозмездного пользования от 06.05.2010 года № 1072 с Министерством имущест</w:t>
                  </w:r>
                  <w:r>
                    <w:rPr>
                      <w:color w:val="000000"/>
                      <w:sz w:val="28"/>
                      <w:szCs w:val="28"/>
                    </w:rPr>
                    <w:t>венных отношений Ставропольского края – отражены права безвозмездного пользования нежилыми помещениями. По строке 272 «Амортизация прав пользованиями нежилыми помещениями (зданиями и сооружениями) отражена сумма 15226826,56 рублей – амортизация права безво</w:t>
                  </w:r>
                  <w:r>
                    <w:rPr>
                      <w:color w:val="000000"/>
                      <w:sz w:val="28"/>
                      <w:szCs w:val="28"/>
                    </w:rPr>
                    <w:t>змездного пользования нежилыми помещениями;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остаток по строке 263 «Права пользования машинами и оборудованием» в сумме 2700617,46 рублей сложился по Управлению труда и социальной защиты населения Шпаковского муниципального района Ставропольского края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по договору безвозмездного пользования от 06.05.2010 года № 1072 с Министерством имущественных отношений Ставропольского края – отражены права пользования машинами и оборудованием. По строке 273 «Амортизация прав пользованиями машинами и оборудованием» от</w:t>
                  </w:r>
                  <w:r>
                    <w:rPr>
                      <w:color w:val="000000"/>
                      <w:sz w:val="28"/>
                      <w:szCs w:val="28"/>
                    </w:rPr>
                    <w:t>ражена сумма 1484983,36 рублей – амортизация прав пользования машинами и оборудованием».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остаток по строке 264 «Права пользования транспортными средствами» в сумме 2627500,00 рублей. По строке 274 «Амортизация прав пользованиями транспортными средств</w:t>
                  </w:r>
                  <w:r>
                    <w:rPr>
                      <w:color w:val="000000"/>
                      <w:sz w:val="28"/>
                      <w:szCs w:val="28"/>
                    </w:rPr>
                    <w:t>ами» отражена сумма 1718001,35 рублей – амортизация прав пользования транспортными средствами».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остаток по строке 265 «Права пользования инвентарем производственным и хозяйственным» в сумме 669607,87 рублей. По строке 275 «Амортизация прав пользовани</w:t>
                  </w:r>
                  <w:r>
                    <w:rPr>
                      <w:color w:val="000000"/>
                      <w:sz w:val="28"/>
                      <w:szCs w:val="28"/>
                    </w:rPr>
                    <w:t>ями инвентарем производственным и хозяйственным» отражена сумма 446406,54 рублей – амортизация прав пользования инвентарем производственным и хозяйственным».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Согласно положениям федерального стандарта бухгалтерского учета для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организаций государствен</w:t>
                  </w:r>
                  <w:r>
                    <w:rPr>
                      <w:color w:val="000000"/>
                      <w:sz w:val="28"/>
                      <w:szCs w:val="28"/>
                    </w:rPr>
                    <w:t>ного сектора «Аренда», утвержденного приказом Министерства Финансов Российской Федерации от 31.12.2016 №258н учреждения Шпаковского района используют в ведении бюджетного и бухгалтерского учета положений федерального стандарта.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2019 году по счету 1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10311000 «Непроизведенные активы» произошло уменьшение за счет изменения кадастровой стоимости земельных участков, ранее принятых к бюджетному учету на основании свидетельств, подтверждающих право постоянного (бессрочного) пользования земельными участками </w:t>
                  </w:r>
                  <w:r>
                    <w:rPr>
                      <w:color w:val="000000"/>
                      <w:sz w:val="28"/>
                      <w:szCs w:val="28"/>
                    </w:rPr>
                    <w:t>и на конец отчетного периода составило 502913105,13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110600000 «Вложения в нефинансовые активы» остаток по состоянию на 01.01.2020 составил 792175161,09 рублей, в том числе по счету 1 106 11 000 «Вложения в основные средства – недвижи</w:t>
                  </w:r>
                  <w:r>
                    <w:rPr>
                      <w:color w:val="000000"/>
                      <w:sz w:val="28"/>
                      <w:szCs w:val="28"/>
                    </w:rPr>
                    <w:t>мое имущество» в сумме 471979535,70 рублей: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Вложение в объекты незавершенного строительства, включенные в документ, устанавливающий распределение бюджетных средств на реализацию инвестиционных проектов, всего:297680387,89 рублей, в том числе по объек</w:t>
                  </w:r>
                  <w:r>
                    <w:rPr>
                      <w:color w:val="000000"/>
                      <w:sz w:val="28"/>
                      <w:szCs w:val="28"/>
                    </w:rPr>
                    <w:t>там строительства: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Памятник Труженикам тыла и детям Великой отечественной войны 1941 – 1945годов, Ставропольский край, Шпаковский район, село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Верхнерусское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ул. Юбилейная,2а;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строительство дошкольного образовательного учреждения на 280 мест по </w:t>
                  </w:r>
                  <w:r>
                    <w:rPr>
                      <w:color w:val="000000"/>
                      <w:sz w:val="28"/>
                      <w:szCs w:val="28"/>
                    </w:rPr>
                    <w:t>адресу: г. Михайловск, ул. Ленина, 206;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здания средней школы 1002 места в г. Михайловске по ул. Александра Грибоедова, 7 Шпаковский район.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объектов планируется завершить в 2020 году.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Вложение в объекты незавершенного строительства, не включенные в документ, устанавливающие распределение бюджетных средств на реализацию инвестиционных проектов, всего: 95914604,17 рублей, в том числе по объектам строительства: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зд</w:t>
                  </w:r>
                  <w:r>
                    <w:rPr>
                      <w:color w:val="000000"/>
                      <w:sz w:val="28"/>
                      <w:szCs w:val="28"/>
                    </w:rPr>
                    <w:t>ания средней общеобразовательной школы на 990 мест расположенной по адресу: г. Михайловск, ул. Локомотивная, 83/3;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водоснабжение п.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Верхнедубовский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водоснабжение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с.Татарка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</w:t>
                  </w:r>
                  <w:r>
                    <w:rPr>
                      <w:color w:val="000000"/>
                      <w:sz w:val="28"/>
                      <w:szCs w:val="28"/>
                    </w:rPr>
                    <w:t>ого края.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данным объектам приостановлено финансовое обеспечение или неудовлетворительная работа подрядных организаций.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объекты законченного строительства, введенные в эксплуатацию, не прошедшие государственную регистрацию, всего: в сумме 561</w:t>
                  </w:r>
                  <w:r>
                    <w:rPr>
                      <w:color w:val="000000"/>
                      <w:sz w:val="28"/>
                      <w:szCs w:val="28"/>
                    </w:rPr>
                    <w:t>64089,51 рублей, в том числе по объектам: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Газопровод х. Польский Шпаковского района Ставропольского 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Газопровод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х.Извещательный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Газопровод х.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Темнореченский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</w:t>
                  </w:r>
                  <w:r>
                    <w:rPr>
                      <w:color w:val="000000"/>
                      <w:sz w:val="28"/>
                      <w:szCs w:val="28"/>
                    </w:rPr>
                    <w:t>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Мемориальный комплекс х.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Демино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ул.Ленина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38/1;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Открытая сцена х.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Демино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ул.Ленина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34/1;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Газопровод низкого давления по ул. Казачья х. Ташла Шпаковского района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Ставропольского 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Газопровод низкого давления по ул. Централ</w:t>
                  </w:r>
                  <w:r>
                    <w:rPr>
                      <w:color w:val="000000"/>
                      <w:sz w:val="28"/>
                      <w:szCs w:val="28"/>
                    </w:rPr>
                    <w:t>ьная х. Ташла Шпаковского района Ставропольского 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Газопровод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х.Верхнеегорлыкский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Газораспределительные сети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п.Новый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Бешпагир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Газораспределительные сети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нечетной стороны улицы Шоссейная х.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Извещательный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Шпаковского района Ставропольского края;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Распределительный газопровод среднего и низкого давления по ул. Центральная х. Ташла Шпаковского района Ставропольского края (2 этап);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Распределительный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газопровод среднего и низкого давления по ул. Центральная х. Ташла Шпаковского района Ставропольского края (3 этап);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Водопроводные сети в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х.Демино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по улицам Полевая, Лесная, Университетская, проезды Мирный, Ясный, Олимпийский, Перспективный.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</w:t>
                  </w:r>
                  <w:r>
                    <w:rPr>
                      <w:color w:val="000000"/>
                      <w:sz w:val="28"/>
                      <w:szCs w:val="28"/>
                    </w:rPr>
                    <w:t>о данным объектам строительство завершено, но документы не направлены на государственную регистрацию.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Капитальные вложения, произведенные в объекты, строительство которых не началось составляет в сумме 22220454,13 рублей, в том числе по объектам: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строительство дошкольного образовательного учреждения на 160 мест по адресу: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с.Верхнерусское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ул. 50 лет Победы, 29В;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строительство дошкольного образовательного учреждения на 280 мест по адресу: г. Михайловск, пер.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Князевский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во дошкольного образовательного учреждения на 280 мест по адресу: г. Михайловск, ул.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Р.Люксембург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316;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дошкольного образовательного учреждения на 160 мест по адресу: г. Михайловск, ул. Ярославская, 52;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дошкольного 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бразовательного учреждения на 280 мест по адресу: с.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Пелагиада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ул. Садовая, 13Г;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дошкольного образовательного учреждения на 160 мест по адресу: г. Михайловск, ул. Счастливая, 6;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дошкольного образовательного учреждения на 280 мест по адресу: с. Татарка, ул. Колхозная, 1/10;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строительство здания отдела образования администрации Шпаковского муниципального района по адресу г. Михайловск ул.Октябрьская,322;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</w:t>
                  </w:r>
                  <w:r>
                    <w:rPr>
                      <w:color w:val="000000"/>
                      <w:sz w:val="28"/>
                      <w:szCs w:val="28"/>
                    </w:rPr>
                    <w:t>    По данным объектам мероприятие "Реализация и усовершенствование сети дошкольных образовательных учреждений" завершено в 2014 году, неудовлетворительные результаты строительной экспертизы проектной документации. В связи с чем дальнейшие работы приостано</w:t>
                  </w:r>
                  <w:r>
                    <w:rPr>
                      <w:color w:val="000000"/>
                      <w:sz w:val="28"/>
                      <w:szCs w:val="28"/>
                    </w:rPr>
                    <w:t>влены.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Балансовая стоимость материальных запасов счет 110500000 «Материальные запасы») на конец 2019 года по сравнению с предшествующим (2018) годом увеличилась на 7770883,92 рублей, приобретены материальные запасы для обеспечения нужд муниципальных </w:t>
                  </w:r>
                  <w:r>
                    <w:rPr>
                      <w:color w:val="000000"/>
                      <w:sz w:val="28"/>
                      <w:szCs w:val="28"/>
                    </w:rPr>
                    <w:t>учреждений.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Нефинансовые активы имущества муниципальной казны Шпаковского района Ставропольского края счет 110800000 «Нефинансовые активы имущества казны» по состоянию на 01.01.2019 составили 3818497177,33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     В течение отчетного периода по</w:t>
                  </w:r>
                  <w:r>
                    <w:rPr>
                      <w:color w:val="000000"/>
                      <w:sz w:val="28"/>
                      <w:szCs w:val="28"/>
                    </w:rPr>
                    <w:t>ступило и выбыло имущества из муниципальной казны на сумму 100932846,57 рублей (земельные участки, нежилые помещения – в веденные в эксплуатацию новые объекты социальной инфраструктуры, автомобильные дороги, учебные пособия).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На 01.01.2020 в муниципа</w:t>
                  </w:r>
                  <w:r>
                    <w:rPr>
                      <w:color w:val="000000"/>
                      <w:sz w:val="28"/>
                      <w:szCs w:val="28"/>
                    </w:rPr>
                    <w:t>льной казне находится имущество балансовой стоимостью 4184538763,16 рублей, в том числе: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недвижимое имущество в составе имущества казны (автомобильные дороги, водопроводно-канализационные сети, остановочные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павилионы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>, гидротехнические сооружения, нар</w:t>
                  </w:r>
                  <w:r>
                    <w:rPr>
                      <w:color w:val="000000"/>
                      <w:sz w:val="28"/>
                      <w:szCs w:val="28"/>
                    </w:rPr>
                    <w:t>ужные сети освещения, памятники, нежилые помещения) на сумму 1578880936,54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движимое имущество казны (автотранспорт, уличное спортивное оборудование, системы видеонаблюдения) на сумму 67651062,89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непроизводственные активы (земель</w:t>
                  </w:r>
                  <w:r>
                    <w:rPr>
                      <w:color w:val="000000"/>
                      <w:sz w:val="28"/>
                      <w:szCs w:val="28"/>
                    </w:rPr>
                    <w:t>ные участки) на сумму 2538006763,73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На 01.01.2020 дебиторская задолженность консолидированного отчета Шпаковского района составила 4040947098,59 рублей, просроченная дебиторская задолженность в сумме 84097679,78 рублей на основании представле</w:t>
                  </w:r>
                  <w:r>
                    <w:rPr>
                      <w:color w:val="000000"/>
                      <w:sz w:val="28"/>
                      <w:szCs w:val="28"/>
                    </w:rPr>
                    <w:t>нной бюджетной отчетности главного администратора доходов Управление Федеральной налоговой службы по Ставропольскому краю, в том числе: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по счету 120511000 «Расчеты с плательщиками налогов» в сумме 84097679,78 рублей, в том числе просроченная в сумме </w:t>
                  </w:r>
                  <w:r>
                    <w:rPr>
                      <w:color w:val="000000"/>
                      <w:sz w:val="28"/>
                      <w:szCs w:val="28"/>
                    </w:rPr>
                    <w:t>84097679,78 рублей (задолженность сложилась на основании представленной бюджетной отчетности главного администратора доходов Управление Федеральной налоговой службы по Ставропольскому краю);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120521000 «Расчеты по доходам от операционной арен</w:t>
                  </w:r>
                  <w:r>
                    <w:rPr>
                      <w:color w:val="000000"/>
                      <w:sz w:val="28"/>
                      <w:szCs w:val="28"/>
                    </w:rPr>
                    <w:t>ды» в сумме 275193866,04 рублей (начислены доходы по договорам аренды на весь период их действия в соответствии с положениями федерального стандарта бухгалтерского учета для организаций государственного сектора «Аренда», утвержденного приказом Министерства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финансов Российской Федерации от 31.12.2016 №258н при первом его применении);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120523000 «Расчеты по доходам от платежей при пользовании природными ресурсами» в сумме 71171071,04 рублей (начислены доходы по договорам аренды на весь период их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действия в соответствии с положениями федерального стандарта бухгалтерского учета для организаций государственного сектора «Аренда», утвержденного приказом Министерства финансов Российской Федерации от 31.12.2016 №258н при первом его применении);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счету 120531000 «Расчеты по доходам от оказания платных услуг (работ)» в сумме 2576048,50 рублей (задолженность образовалась в результате поступления родительской платы за детские дошкольные учреждения);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120545000 «Расчеты по доходам от про</w:t>
                  </w:r>
                  <w:r>
                    <w:rPr>
                      <w:color w:val="000000"/>
                      <w:sz w:val="28"/>
                      <w:szCs w:val="28"/>
                    </w:rPr>
                    <w:t>чих сумм принудительного изъятия» в сумме 667592 рублей (в соответствии с положениями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сектора»», утвержденного приказом Министерства финансов Российской Федерации от 31.12.2016 №256н);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     по счету 120551000 «Расчеты по безвозмездным поступлениям текущего характера от других бюджетов бюджетной системы Российской Федерации» в сумме 298941</w:t>
                  </w:r>
                  <w:r>
                    <w:rPr>
                      <w:color w:val="000000"/>
                      <w:sz w:val="28"/>
                      <w:szCs w:val="28"/>
                    </w:rPr>
                    <w:t>8274,43 рублей (в соответствии с положениями федерального стандарта бухгалтерского учета для организаций государственного сектора «Доходы», утвержденного приказом Министерства финансов Российской Федерации от 27.02.2018 №32н);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120561000 «Рас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четы по поступлениям капитального характера от других бюджетов бюджетной системы Российской Федерации» в сумме 609166916,86 рублей (в соответствии с положениями федерального стандарта бухгалтерского учета для организаций государственного сектора «Доходы», </w:t>
                  </w:r>
                  <w:r>
                    <w:rPr>
                      <w:color w:val="000000"/>
                      <w:sz w:val="28"/>
                      <w:szCs w:val="28"/>
                    </w:rPr>
                    <w:t>утвержденного приказом Министерства финансов Российской Федерации от 27.02.2018 №32н);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120600000 «Расчеты по выданным авансам» в сумме 4067609,49 рублей (произведена оплата в соответствии с условиями договоров поставки тепловой энергии, услу</w:t>
                  </w:r>
                  <w:r>
                    <w:rPr>
                      <w:color w:val="000000"/>
                      <w:sz w:val="28"/>
                      <w:szCs w:val="28"/>
                    </w:rPr>
                    <w:t>г связи, транспортировки природного газа, поставки бензина, продуктов питания);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120800000 «Расчеты с подотчетными лицами» в сумме 113478 рублей (в связи с большим объемом рассылки корреспонденции в электронном виде сложилась экономия по заку</w:t>
                  </w:r>
                  <w:r>
                    <w:rPr>
                      <w:color w:val="000000"/>
                      <w:sz w:val="28"/>
                      <w:szCs w:val="28"/>
                    </w:rPr>
                    <w:t>пленным маркированным конвертам);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120900000 «Расчеты по ущербу и иным доходам» в сумме 14796,18 рублей (возврат дебиторской задолженности прошлых лет);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130300000 «Расчеты по платежам в бюджеты» в сумме 1746908,17 рублей (оплат</w:t>
                  </w:r>
                  <w:r>
                    <w:rPr>
                      <w:color w:val="000000"/>
                      <w:sz w:val="28"/>
                      <w:szCs w:val="28"/>
                    </w:rPr>
                    <w:t>а по листкам нетрудоспособности и пособия по уходу за ребенком, расчеты по которым не возмещены фондом социального страхования в 2019 году, переплата по транспортному, земельному, налогу на имущество организаций согласно актам сверок учреждений).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На </w:t>
                  </w:r>
                  <w:r>
                    <w:rPr>
                      <w:color w:val="000000"/>
                      <w:sz w:val="28"/>
                      <w:szCs w:val="28"/>
                    </w:rPr>
                    <w:t>01.01.2019 кредиторская задолженность составила 183403061,32 рублей, в том числе: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120511000 «Расчеты с плательщиками налогов» в сумме 81691622,76 рублей (задолженность сложилась на основании представленной бюджетной отчетности главного админ</w:t>
                  </w:r>
                  <w:r>
                    <w:rPr>
                      <w:color w:val="000000"/>
                      <w:sz w:val="28"/>
                      <w:szCs w:val="28"/>
                    </w:rPr>
                    <w:t>истратора доходов Управление Федеральной налоговой службы по Ставропольскому краю);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120521000 «Расчеты по доходам от операционной аренды» в сумме 10497205,03 рублей (задолженность по договорам аренды в соответствии с положениями федерального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стандарта бухгалтерского учета для организаций государственного сектора «Аренда», утвержденного приказом Министерства финансов Российской Федерации от 31.12.2016 №258н при первом его применении);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120523000 «Расчеты по доходам от платежей пр</w:t>
                  </w:r>
                  <w:r>
                    <w:rPr>
                      <w:color w:val="000000"/>
                      <w:sz w:val="28"/>
                      <w:szCs w:val="28"/>
                    </w:rPr>
                    <w:t>и пользовании природными ресурсами» в сумме 14432706,85 рублей (задолженность по договорам аренды на весь период их действия в соответствии с положениями федерального стандарта бухгалтерского учета для организаций государственного сектора «Аренда», утвержд</w:t>
                  </w:r>
                  <w:r>
                    <w:rPr>
                      <w:color w:val="000000"/>
                      <w:sz w:val="28"/>
                      <w:szCs w:val="28"/>
                    </w:rPr>
                    <w:t>енного приказом Министерства финансов Российской Федерации от 31.12.2016 №258н при первом его применении);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по счету 120531000 «Расчеты по доходам от оказания платных услуг (работ)» в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сумме 827045,73 рублей (задолженность по родительской плате за детс</w:t>
                  </w:r>
                  <w:r>
                    <w:rPr>
                      <w:color w:val="000000"/>
                      <w:sz w:val="28"/>
                      <w:szCs w:val="28"/>
                    </w:rPr>
                    <w:t>кие дошкольные образовательные учреждения);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120544000 «Расчеты по доходам от возмещения ущерба имуществу (за исключением страховых возмещений)» в сумме 104845,33 рублей (задолженность сложилась на основании представленной бюджетной отчетности главного администратора доходов Управление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Федеральной налоговой службы по Ставропольскому краю);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по счету 120551000 «Расчеты по безвозмездным поступлениям текущего характера от других бюджетов бюджетной системы Российской Федерации» в сумме 32852118,46 рублей (остатки субсидий и субвенций, </w:t>
                  </w:r>
                  <w:r>
                    <w:rPr>
                      <w:color w:val="000000"/>
                      <w:sz w:val="28"/>
                      <w:szCs w:val="28"/>
                    </w:rPr>
                    <w:t>подлежащих возврату в бюджет субъекта Российской Федерации);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120561000 «Расчеты по поступлениям капитального характера от других бюджетов бюджетной системы Российской Федерации» в сумме 36877310,00 рублей (остатки субсидий и субвенций, подле</w:t>
                  </w:r>
                  <w:r>
                    <w:rPr>
                      <w:color w:val="000000"/>
                      <w:sz w:val="28"/>
                      <w:szCs w:val="28"/>
                    </w:rPr>
                    <w:t>жащих возврату в бюджет субъекта Российской Федерации);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120581000 «Расчеты по невыясненным поступлениям» в сумме 149772,21 рублей (невыясненные поступления).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130200000 «Расчеты по принятым обязательствам» в сумме 4900202,01 ру</w:t>
                  </w:r>
                  <w:r>
                    <w:rPr>
                      <w:color w:val="000000"/>
                      <w:sz w:val="28"/>
                      <w:szCs w:val="28"/>
                    </w:rPr>
                    <w:t>блей (на основании денежных обязательств за декабрь 2019 года);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130300000 «Расчеты по платежам в бюджеты» в сумме 1061874,94 рублей (оплата по платежам в бюджет).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Просроченная кредиторская задолженность в Шпаковском районе Ставропольск</w:t>
                  </w:r>
                  <w:r>
                    <w:rPr>
                      <w:color w:val="000000"/>
                      <w:sz w:val="28"/>
                      <w:szCs w:val="28"/>
                    </w:rPr>
                    <w:t>ого края по состоянию на 01.01.2020 года отсутствует.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отчетном периоде учреждениями Шпаковского района согласно положениям федерального стандарта бухгалтерского учета для организаций государственного сектора «Аренда», утвержденного приказом Министе</w:t>
                  </w:r>
                  <w:r>
                    <w:rPr>
                      <w:color w:val="000000"/>
                      <w:sz w:val="28"/>
                      <w:szCs w:val="28"/>
                    </w:rPr>
                    <w:t>рства финансов Российской Федерации от 31.12.2016 № 258н принимались к учету договора от операционной аренды имущества на сумму арендных платежей за весь срок действия договора, в сумме 18059537,46 рублей по счету учета 140140121 «Доходы будущих периодов о</w:t>
                  </w:r>
                  <w:r>
                    <w:rPr>
                      <w:color w:val="000000"/>
                      <w:sz w:val="28"/>
                      <w:szCs w:val="28"/>
                    </w:rPr>
                    <w:t>т операционной аренды», договора от предоставления в аренду земельных участков, государственная собственность на которые не разграничена и которые расположены в границах городского поселения, а также земельных участков находящихся в собственности муниципал</w:t>
                  </w:r>
                  <w:r>
                    <w:rPr>
                      <w:color w:val="000000"/>
                      <w:sz w:val="28"/>
                      <w:szCs w:val="28"/>
                    </w:rPr>
                    <w:t>ьных районов (за исключением земельных участков муниципальных бюджетных и автономных учреждений) на сумму арендных платежей в сумме 299652760,88 рублей по счету учета 140140123 «Доходы будущих периодов от платежей при пользовании природными ресурсами».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</w:t>
                  </w:r>
                  <w:r>
                    <w:rPr>
                      <w:color w:val="000000"/>
                      <w:sz w:val="28"/>
                      <w:szCs w:val="28"/>
                    </w:rPr>
                    <w:t>   по счету 140140182 «Доходы будущих периодов от безвозмездного права пользования активом» в сумме 9180965,77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140140186 «Доходы будущих периодов от безвозмездного права пользования активом» в сумме 38924,02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14</w:t>
                  </w:r>
                  <w:r>
                    <w:rPr>
                      <w:color w:val="000000"/>
                      <w:sz w:val="28"/>
                      <w:szCs w:val="28"/>
                    </w:rPr>
                    <w:t>0140187 «Доходы будущих периодов от безвозмездного права пользования активом» в сумме 735331,97 рублей;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Сформирован резерв предстоящих расходов по счету 140160211 «Резерв на оплату отпусков за фактически отработанное время в части выплат персоналу» 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сумме 26662042,42 рублей для оплаты отпусков работников и по счету 140160213 «Резерв на оплату отпусков за фактически отработанное время в части оплаты страховых взносов» для перечисления взносов во внебюджетные фонды в сумме 8435754,95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счету 040150000 «Расходы будущих периодов» в сумме 12143007,40 рублей (оплата за пользование неисключительными правами и подписка на периодические печатные издания, получение арендных платежей по договорам безвозмездного пользования).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Остато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к денежных средств на счетах, открытых Управлению Федерального казначейства по Ставропольскому краю, на балансовых счетах № 40204 «Средства местных бюджетов» отражен по строке 210 «Баланс исполнения консолидированного бюджета субъекта Российской Федерации </w:t>
                  </w:r>
                  <w:r>
                    <w:rPr>
                      <w:color w:val="000000"/>
                      <w:sz w:val="28"/>
                      <w:szCs w:val="28"/>
                    </w:rPr>
                    <w:t>и бюджета территориального государственного внебюджетного фонда по состоянию на 01.01.2020 составил 168954605,39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форме 0503110 «Справка по заключению счетов бюджетного учета отчетного финансового года» отражены показатели с учетом соответст</w:t>
                  </w:r>
                  <w:r>
                    <w:rPr>
                      <w:color w:val="000000"/>
                      <w:sz w:val="28"/>
                      <w:szCs w:val="28"/>
                    </w:rPr>
                    <w:t>вия кодов бюджетной классификации Российской Федерации, утвержденными приказами Министерства финансов Российской Федерации от 29 ноября 2017 № 209н «Об утверждении Порядка применения классификации операций сектора государственного управления», от 08 июня 2</w:t>
                  </w:r>
                  <w:r>
                    <w:rPr>
                      <w:color w:val="000000"/>
                      <w:sz w:val="28"/>
                      <w:szCs w:val="28"/>
                    </w:rPr>
                    <w:t>018 года № 132н «О Порядке формирования и применения кодов бюджетной классификации Российской Федерации, их структуре и принципах назначения». Коды по КОСГУ справки по заключению счетов бюджетного учета отчетного финансового года соответствуют кодам КОСГУ,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отраженным в форме 0503321 «Консолидированный отчет о финансовых результатах деятельности».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</w:t>
                  </w:r>
                </w:p>
              </w:tc>
            </w:tr>
          </w:tbl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E04285">
        <w:tc>
          <w:tcPr>
            <w:tcW w:w="10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0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001"/>
            </w:tblGrid>
            <w:tr w:rsidR="00E04285">
              <w:tc>
                <w:tcPr>
                  <w:tcW w:w="100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Бухгалтерский учет имущества, обязательств и хозяйственных операций в муниципальных учреждениях Шпаковского района ведется в валюте Российской Федерации на основе натуральных показателей в денежном выражении путем сплошного, непрерывного, документаль</w:t>
                  </w:r>
                  <w:r>
                    <w:rPr>
                      <w:color w:val="000000"/>
                      <w:sz w:val="28"/>
                      <w:szCs w:val="28"/>
                    </w:rPr>
                    <w:t>ного и взаимного их отражения исходя из нормативных правовых актов, регулирующих ведение бухгалтерского учета и составление бухгалтерской (финансовой) отчетности: Бюджетный кодекс Российской Федерации, Федеральный закон от 06.12.2011 № 402-ФЗ «О бухгалтерс</w:t>
                  </w:r>
                  <w:r>
                    <w:rPr>
                      <w:color w:val="000000"/>
                      <w:sz w:val="28"/>
                      <w:szCs w:val="28"/>
                    </w:rPr>
                    <w:t>ком учете», 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</w:t>
                  </w:r>
                  <w:r>
                    <w:rPr>
                      <w:color w:val="000000"/>
                      <w:sz w:val="28"/>
                      <w:szCs w:val="28"/>
                    </w:rPr>
                    <w:t>ниципальных) учреждений, Инструкцией по его применению, утвержденными приказом Министерства финансов Российской Федерации от 01.12.2010 №157н, план счетов бюджетного учета и Инструкцией по его применению, утвержденными приказом Министерства финансов Россий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ской Федерации от 06.12.2010 №162н, приказ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Министерства финансов Российской Федерации от 31.12.2016 №256н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</w:t>
                  </w:r>
                  <w:r>
                    <w:rPr>
                      <w:color w:val="000000"/>
                      <w:sz w:val="28"/>
                      <w:szCs w:val="28"/>
                    </w:rPr>
                    <w:t>етности организаций государственного сектора», приказ Министерства финансов Российской Федерации от 31.12.2016 №257н «Об утверждении федерального стандарта бухгалтерского учета для организаций государственного сектора «Основные средства», приказ Министерст</w:t>
                  </w:r>
                  <w:r>
                    <w:rPr>
                      <w:color w:val="000000"/>
                      <w:sz w:val="28"/>
                      <w:szCs w:val="28"/>
                    </w:rPr>
                    <w:t>ва финансов Российской Федерации от 31.12.2016 №258н «Об утверждении федерального стандарта бухгалтерского учета для организаций государственного сектора «Аренда», приказ Министерства финансов Российской Федерации от 31.12.2016 №259н «Об утверждении федера</w:t>
                  </w:r>
                  <w:r>
                    <w:rPr>
                      <w:color w:val="000000"/>
                      <w:sz w:val="28"/>
                      <w:szCs w:val="28"/>
                    </w:rPr>
                    <w:t>льного стандарта бухгалтерского учета для организаций государственного сектора «Обесценение активов», приказ Министерства финансов Российской Федерации от 31.12.2016 №260н «Об утверждении федерального стандарта бухгалтерского учета для организаций государс</w:t>
                  </w:r>
                  <w:r>
                    <w:rPr>
                      <w:color w:val="000000"/>
                      <w:sz w:val="28"/>
                      <w:szCs w:val="28"/>
                    </w:rPr>
                    <w:t>твенного сектора «Представление бухгалтерской (финансовой) отчетности», приказом Министерства финансов Российской Федерации от 30.12.2017 № 278н «Об утверждении федерального стандарта бухгалтерского учета для организаций государственного сектора «Отчет о д</w:t>
                  </w:r>
                  <w:r>
                    <w:rPr>
                      <w:color w:val="000000"/>
                      <w:sz w:val="28"/>
                      <w:szCs w:val="28"/>
                    </w:rPr>
                    <w:t>вижении денежных средств», приказом Министерства финансов Российской Федерации от 30.12.2017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ошибки», приказ</w:t>
                  </w:r>
                  <w:r>
                    <w:rPr>
                      <w:color w:val="000000"/>
                      <w:sz w:val="28"/>
                      <w:szCs w:val="28"/>
                    </w:rPr>
                    <w:t>ом Министерства финансов Российской Федерации от 30.12.2017 № 275н «Об утверждении федерального стандарта бухгалтерского учета для организаций государственного сектора «События после отчетной даты», приказом Министерства финансов Российской Федерации от 27</w:t>
                  </w:r>
                  <w:r>
                    <w:rPr>
                      <w:color w:val="000000"/>
                      <w:sz w:val="28"/>
                      <w:szCs w:val="28"/>
                    </w:rPr>
                    <w:t>.02.2018 № 32н «Об утверждении федерального стандарта бухгалтерского учета для организаций государственного сектора «Доходы».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Особенности ведения бюджетного учета в учреждениях района установлены учетной политикой, в которой прописан порядок учета не</w:t>
                  </w:r>
                  <w:r>
                    <w:rPr>
                      <w:color w:val="000000"/>
                      <w:sz w:val="28"/>
                      <w:szCs w:val="28"/>
                    </w:rPr>
                    <w:t>финансовых, непроизводственных, нематериальных активов, амортизации, обязательств, материальных запасов и финансовых активов с учетом особенностей применения федеральных стандартов.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Способами ведения бухгалтерского учета являются: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формирование </w:t>
                  </w:r>
                  <w:r>
                    <w:rPr>
                      <w:color w:val="000000"/>
                      <w:sz w:val="28"/>
                      <w:szCs w:val="28"/>
                    </w:rPr>
                    <w:t>полной и достоверной информации о хозяйственной деятельности учреждения путем системного сбора, регистрации и обобщения информации в денежном выражении о состоянии финансовых и нефинансовых активов, обязательств, а также операций, приводящих к их изменению</w:t>
                  </w:r>
                  <w:r>
                    <w:rPr>
                      <w:color w:val="000000"/>
                      <w:sz w:val="28"/>
                      <w:szCs w:val="28"/>
                    </w:rPr>
                    <w:t>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организация документооборота, инвентаризации, применения счетов бухгалтерского учета, формирование учетных нормативов, порядок приобретения, хранения и списания нефинансовых активов, обработки информации на базе программного продукта.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целях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соблюдения требований бюджетного законодательства, финансовой дисциплины и контроля за эффективным использованием материальных ресурсов, а также правильным ведением бюджетного учета и составления качественной отчетности в учреждениях района разработаны ме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роприятия предварительного,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текущего и последующего контроля.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процессе предварительного контроля ведется контроль за соответствием соблюдения требований бюджетного законодательства, контроль за оформлением первичных документов, за законностью совер</w:t>
                  </w:r>
                  <w:r>
                    <w:rPr>
                      <w:color w:val="000000"/>
                      <w:sz w:val="28"/>
                      <w:szCs w:val="28"/>
                    </w:rPr>
                    <w:t>шения финансово-хозяйственных операций, за соответствием заключаемых договоров, объемам выделенных ассигнований.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Текущий контроль заключается в еженедельном анализе освоения финансирования на реализацию законодательных актов.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Проверка соответс</w:t>
                  </w:r>
                  <w:r>
                    <w:rPr>
                      <w:color w:val="000000"/>
                      <w:sz w:val="28"/>
                      <w:szCs w:val="28"/>
                    </w:rPr>
                    <w:t>твия остатков денежных средств на лицевых счетах в Управлении Федерального казначейства по Ставропольскому краю, выведенных в регистрах бухгалтерского учета. Сверка показателей спидометра с данными путевых листов, контроль за списанием материальных ценност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ей на нужды учреждений и списание ГСМ в соответствии с утвержденными нормами.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Проводился анализ соответствия кассовых расходов фактически произведенным.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Последующий контроль – проверка соответствия перечня полученных товаров (работ, услуг) вед</w:t>
                  </w:r>
                  <w:r>
                    <w:rPr>
                      <w:color w:val="000000"/>
                      <w:sz w:val="28"/>
                      <w:szCs w:val="28"/>
                    </w:rPr>
                    <w:t>ения учета материальных запасов, бланков строгой отчетности, контроль за целевым использованием бюджетных средств.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Перед составлением бюджетной отчетности за 2019 г. проведена годовая инвентаризация активов и обязательств на основании пункта 3 статьи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11 Закона № 402-ФЗ «О бухгалтерском учете», пунктов 81, 82 СГС «Концептуальные основы», пункта 7 Инструкции № 191н.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Финансовая и хозяйственная деятельность учреждений района подвергалась проверке со стороны внешних контрольных органов. В течение отч</w:t>
                  </w:r>
                  <w:r>
                    <w:rPr>
                      <w:color w:val="000000"/>
                      <w:sz w:val="28"/>
                      <w:szCs w:val="28"/>
                    </w:rPr>
                    <w:t>етного финансового года проведены следующие проверки: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проверка Контрольно-счетным органом Шпаковского района всех годовых отчетов главных распорядителей бюджета – нарушений не установлено;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Контрольно-счетным органом Шпаковского района проведено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контрольное мероприятие «Проверка целевого использования субвенций, предоставленных бюджету муниципальных образований Шпаковского района Ставропольского края на выполнение полномочий по осуществлению первичного воинского учета на территориях, где отсутств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уют военные комиссариаты 2018 году и за 9 месяцев 2019 года» на территориях сельских поселений: администрация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Верхнерусского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сельсовета, администрация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Дёминского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сельсовета, администрация муниципального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образования Дубовского сельсовета, администрация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Казинского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сельсовета, администрация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Надеждинского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сельсовета, администрация муниципального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Пелагиадского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сельсовета, администрация муниципа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льного образования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Сенгилеевского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сельсовета, администрация муниципального образования Татарского сельсовета, администрация муниципального образования Темнолесского сельсовета, администрация муниципального образования Цимлянского сельсовета, администрация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муниципального образования станицы Новомарьевской. Нецелевого расходования субвенций, предоставленных из бюджета Ставропольского края бюджетам муниципальных образований Шпаковского </w:t>
                  </w: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района Ставропольского края за 2018 год и за 9 месяцев 2019 года, проверкой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не установлено.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соответствии с постановлением администрации Шпаковского муниципального района Ставропольского края от 25.12.2013 № 952 «Об утверждении Порядка осуществления внутреннего муниципального финансового контроля» (в редакции от 27.08.2018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№ 387) на финансовое управление возложены полномочия органа внутреннего муниципального финансового контроля в целях реализации положений главы 26 Бюджетного кодекса Российской Федерации.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рамках исполнения указанных полномочий в 2019 году, согласно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Плану контрольной деятельности органа, внутреннего муниципального финансового контроля на 2019, запланировано проверить 16 учреждений и учреждения – участники отдельных муниципальных программ, фактически проверено 33 учреждения (100% плана), оформлено 53 </w:t>
                  </w:r>
                  <w:r>
                    <w:rPr>
                      <w:color w:val="000000"/>
                      <w:sz w:val="28"/>
                      <w:szCs w:val="28"/>
                    </w:rPr>
                    <w:t>акта: 52 по плановым проверкам, 1 по жалобе от юридических лиц, которая признана необоснованной, 1 плановая проверка 2019 года перешла в 2020 год.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33 проверкам, установлены финансовые нарушения: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неправомерное расходование бюджетных средств;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неэффективное использование бюджетных средств;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нарушения порядка ведения бюджетного (бухгалтерского) учета и представления бюджетной (бухгалтерской) отчетности;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недопоступление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платежей в бюджет;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принятие бюджетных обязательств в размерах, превышающих утвержденные бюджетные ассигнования и (или) лимиты бюджетных обязательств;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нарушения своевременности, полноты и достоверности отражения в документах учета поставленного товара, выполненной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работы (ее результата) или оказанной услуги;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прочие и иные нарушения.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По результатам проверок приняты меры по устранению выявленных нарушений и (или) устранению причин и условий их совершения.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Всего в 2019 году составлено должностными ли</w:t>
                  </w:r>
                  <w:r>
                    <w:rPr>
                      <w:color w:val="000000"/>
                      <w:sz w:val="28"/>
                      <w:szCs w:val="28"/>
                    </w:rPr>
                    <w:t>цами финансового управления 7 протоколов об административных правонарушениях. По 9 протоколам (2 протокола 2018 года рассмотрены мировыми судьями в 2019 году) вынесены постановления мировыми судьями о наложении административных штрафов на общую сумму 105 0</w:t>
                  </w:r>
                  <w:r>
                    <w:rPr>
                      <w:color w:val="000000"/>
                      <w:sz w:val="28"/>
                      <w:szCs w:val="28"/>
                    </w:rPr>
                    <w:t>00,00 рублей.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Передано в 2019 году материалов проверок в органы прокуратуры Шпаковского района в количестве 53 единицы.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соответствии с постановлением администрации Шпаковского муниципального района Ставропольского края от 14.04.2015 № 295 «О централизации закупок» на управление возложены полномочия контрольного органа в сфере закупок в целях реализации положений ста</w:t>
                  </w:r>
                  <w:r>
                    <w:rPr>
                      <w:color w:val="000000"/>
                      <w:sz w:val="28"/>
                      <w:szCs w:val="28"/>
                    </w:rPr>
                    <w:t>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В рамках исполнения указанных полномочий в 2019 году управлением запланировано и пров</w:t>
                  </w:r>
                  <w:r>
                    <w:rPr>
                      <w:color w:val="000000"/>
                      <w:sz w:val="28"/>
                      <w:szCs w:val="28"/>
                    </w:rPr>
                    <w:t>едено в учреждениях 6 проверок. Предписания не выдавались.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      Перечень форм отчетности, не включенных в состав бюджетной отчетности за отчетный период, ввиду отсутствия числовых значений показателей: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Сведения о государственном (муниципальном) долг</w:t>
                  </w:r>
                  <w:r>
                    <w:rPr>
                      <w:color w:val="000000"/>
                      <w:sz w:val="28"/>
                      <w:szCs w:val="28"/>
                    </w:rPr>
                    <w:t>е, представленных бюджетных кредитах консолидированного бюджета (ф. 0503372);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Сведения об изменении остатков валюты баланса консолидированного бюджета (ф. 0503373);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 Сведения об исполнении консолидированного бюджета (ф. 0503364);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Отчет об </w:t>
                  </w:r>
                  <w:r>
                    <w:rPr>
                      <w:color w:val="000000"/>
                      <w:sz w:val="28"/>
                      <w:szCs w:val="28"/>
                    </w:rPr>
                    <w:t>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 0503324).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      </w:t>
                  </w:r>
                </w:p>
                <w:p w:rsidR="00E04285" w:rsidRDefault="00A937D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</w:t>
                  </w:r>
                </w:p>
              </w:tc>
            </w:tr>
          </w:tbl>
          <w:p w:rsidR="00E04285" w:rsidRDefault="00A937D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E04285">
        <w:tc>
          <w:tcPr>
            <w:tcW w:w="100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</w:tr>
    </w:tbl>
    <w:p w:rsidR="00E04285" w:rsidRDefault="00E04285">
      <w:pPr>
        <w:rPr>
          <w:vanish/>
        </w:rPr>
      </w:pPr>
      <w:bookmarkStart w:id="2" w:name="__bookmark_3"/>
      <w:bookmarkEnd w:id="2"/>
    </w:p>
    <w:tbl>
      <w:tblPr>
        <w:tblOverlap w:val="never"/>
        <w:tblW w:w="8898" w:type="dxa"/>
        <w:tblLayout w:type="fixed"/>
        <w:tblLook w:val="01E0" w:firstRow="1" w:lastRow="1" w:firstColumn="1" w:lastColumn="1" w:noHBand="0" w:noVBand="0"/>
      </w:tblPr>
      <w:tblGrid>
        <w:gridCol w:w="3401"/>
        <w:gridCol w:w="623"/>
        <w:gridCol w:w="623"/>
        <w:gridCol w:w="283"/>
        <w:gridCol w:w="3968"/>
      </w:tblGrid>
      <w:tr w:rsidR="00E04285">
        <w:tc>
          <w:tcPr>
            <w:tcW w:w="3401" w:type="dxa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4285" w:rsidRDefault="00E04285">
            <w:pPr>
              <w:spacing w:line="1" w:lineRule="auto"/>
            </w:pPr>
          </w:p>
        </w:tc>
      </w:tr>
      <w:tr w:rsidR="00E04285">
        <w:tc>
          <w:tcPr>
            <w:tcW w:w="3401" w:type="dxa"/>
            <w:vMerge w:val="restart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34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01"/>
            </w:tblGrid>
            <w:tr w:rsidR="00E04285"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r>
                    <w:rPr>
                      <w:color w:val="000000"/>
                    </w:rPr>
                    <w:t>Начальник управления</w:t>
                  </w: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4285" w:rsidRDefault="00E04285">
            <w:pPr>
              <w:rPr>
                <w:vanish/>
              </w:rPr>
            </w:pPr>
          </w:p>
          <w:tbl>
            <w:tblPr>
              <w:tblOverlap w:val="never"/>
              <w:tblW w:w="39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68"/>
            </w:tblGrid>
            <w:tr w:rsidR="00E04285">
              <w:trPr>
                <w:jc w:val="center"/>
              </w:trPr>
              <w:tc>
                <w:tcPr>
                  <w:tcW w:w="39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t>О.С. Бондаренко</w:t>
                  </w: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</w:tr>
      <w:tr w:rsidR="00E04285">
        <w:trPr>
          <w:trHeight w:val="453"/>
        </w:trPr>
        <w:tc>
          <w:tcPr>
            <w:tcW w:w="3401" w:type="dxa"/>
            <w:vMerge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E04285">
        <w:trPr>
          <w:trHeight w:val="230"/>
        </w:trPr>
        <w:tc>
          <w:tcPr>
            <w:tcW w:w="8898" w:type="dxa"/>
            <w:gridSpan w:val="5"/>
            <w:vMerge w:val="restart"/>
            <w:tcBorders>
              <w:right w:val="single" w:sz="18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898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98"/>
            </w:tblGrid>
            <w:tr w:rsidR="00E04285">
              <w:trPr>
                <w:trHeight w:val="230"/>
              </w:trPr>
              <w:tc>
                <w:tcPr>
                  <w:tcW w:w="8898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04285" w:rsidRDefault="00A937D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E04285">
              <w:trPr>
                <w:trHeight w:val="230"/>
              </w:trPr>
              <w:tc>
                <w:tcPr>
                  <w:tcW w:w="8898" w:type="dxa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89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98"/>
                  </w:tblGrid>
                  <w:tr w:rsidR="00E04285">
                    <w:tc>
                      <w:tcPr>
                        <w:tcW w:w="88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04285" w:rsidRDefault="00A937D7">
                        <w:r>
                          <w:rPr>
                            <w:color w:val="000000"/>
                          </w:rPr>
                          <w:t>Сертификат: 6ac666002cab799846810eda1776a31f</w:t>
                        </w:r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>Владелец: Бондаренко Оксана Сергеевна</w:t>
                        </w:r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>Действителен с 23.12.2019 по 23.12.2020</w:t>
                        </w:r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E04285" w:rsidRDefault="00E04285">
                  <w:pPr>
                    <w:spacing w:line="1" w:lineRule="auto"/>
                  </w:pP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</w:tr>
      <w:tr w:rsidR="00E04285">
        <w:trPr>
          <w:trHeight w:val="1"/>
        </w:trPr>
        <w:tc>
          <w:tcPr>
            <w:tcW w:w="8898" w:type="dxa"/>
            <w:gridSpan w:val="5"/>
            <w:vMerge/>
            <w:tcBorders>
              <w:right w:val="single" w:sz="18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E04285">
            <w:pPr>
              <w:spacing w:line="1" w:lineRule="auto"/>
            </w:pPr>
          </w:p>
        </w:tc>
      </w:tr>
      <w:tr w:rsidR="00E04285">
        <w:tc>
          <w:tcPr>
            <w:tcW w:w="3401" w:type="dxa"/>
            <w:tcMar>
              <w:top w:w="2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</w:tr>
      <w:tr w:rsidR="00E04285">
        <w:trPr>
          <w:trHeight w:val="226"/>
        </w:trPr>
        <w:tc>
          <w:tcPr>
            <w:tcW w:w="340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34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01"/>
            </w:tblGrid>
            <w:tr w:rsidR="00E04285"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r>
                    <w:rPr>
                      <w:color w:val="000000"/>
                    </w:rPr>
                    <w:t>Начальник отдела планирования и анализа бюджета</w:t>
                  </w: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4285" w:rsidRDefault="00E04285">
            <w:pPr>
              <w:rPr>
                <w:vanish/>
              </w:rPr>
            </w:pPr>
          </w:p>
          <w:tbl>
            <w:tblPr>
              <w:tblOverlap w:val="never"/>
              <w:tblW w:w="39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68"/>
            </w:tblGrid>
            <w:tr w:rsidR="00E04285">
              <w:trPr>
                <w:jc w:val="center"/>
              </w:trPr>
              <w:tc>
                <w:tcPr>
                  <w:tcW w:w="39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С.А.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Музеник</w:t>
                  </w:r>
                  <w:proofErr w:type="spellEnd"/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</w:tr>
      <w:tr w:rsidR="00E04285">
        <w:trPr>
          <w:trHeight w:val="453"/>
        </w:trPr>
        <w:tc>
          <w:tcPr>
            <w:tcW w:w="340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E04285">
        <w:trPr>
          <w:trHeight w:val="230"/>
        </w:trPr>
        <w:tc>
          <w:tcPr>
            <w:tcW w:w="8898" w:type="dxa"/>
            <w:gridSpan w:val="5"/>
            <w:vMerge w:val="restart"/>
            <w:tcBorders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898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98"/>
            </w:tblGrid>
            <w:tr w:rsidR="00E04285">
              <w:trPr>
                <w:trHeight w:val="230"/>
              </w:trPr>
              <w:tc>
                <w:tcPr>
                  <w:tcW w:w="8898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04285" w:rsidRDefault="00A937D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E04285">
              <w:trPr>
                <w:trHeight w:val="230"/>
              </w:trPr>
              <w:tc>
                <w:tcPr>
                  <w:tcW w:w="8898" w:type="dxa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89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98"/>
                  </w:tblGrid>
                  <w:tr w:rsidR="00E04285">
                    <w:tc>
                      <w:tcPr>
                        <w:tcW w:w="88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04285" w:rsidRDefault="00A937D7">
                        <w:r>
                          <w:rPr>
                            <w:color w:val="000000"/>
                          </w:rPr>
                          <w:t>Сертификат: 3BB3BE53322248CC569C2B9BD25DD6783CD49B71</w:t>
                        </w:r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 xml:space="preserve">Владелец: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Музеник</w:t>
                        </w:r>
                        <w:proofErr w:type="spellEnd"/>
                        <w:r>
                          <w:rPr>
                            <w:color w:val="000000"/>
                          </w:rPr>
                          <w:t xml:space="preserve"> Светлана </w:t>
                        </w:r>
                        <w:proofErr w:type="spellStart"/>
                        <w:r>
                          <w:rPr>
                            <w:color w:val="000000"/>
                          </w:rPr>
                          <w:t>Александравна</w:t>
                        </w:r>
                        <w:proofErr w:type="spellEnd"/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>Действителен с 05.12.2019 по 05.03.2021</w:t>
                        </w:r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E04285" w:rsidRDefault="00E04285">
                  <w:pPr>
                    <w:spacing w:line="1" w:lineRule="auto"/>
                  </w:pP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</w:tr>
      <w:tr w:rsidR="00E04285">
        <w:trPr>
          <w:trHeight w:val="1"/>
        </w:trPr>
        <w:tc>
          <w:tcPr>
            <w:tcW w:w="8898" w:type="dxa"/>
            <w:gridSpan w:val="5"/>
            <w:vMerge/>
            <w:tcBorders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E04285">
            <w:pPr>
              <w:spacing w:line="1" w:lineRule="auto"/>
            </w:pPr>
          </w:p>
        </w:tc>
      </w:tr>
      <w:tr w:rsidR="00E04285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</w:tr>
      <w:tr w:rsidR="00E04285">
        <w:tc>
          <w:tcPr>
            <w:tcW w:w="340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3401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01"/>
            </w:tblGrid>
            <w:tr w:rsidR="00E04285">
              <w:tc>
                <w:tcPr>
                  <w:tcW w:w="34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r>
                    <w:rPr>
                      <w:color w:val="000000"/>
                    </w:rPr>
                    <w:t>Начальник отдела бюджетного учета и отчетности - главный бухгалтер</w:t>
                  </w: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rPr>
                <w:vanish/>
              </w:rPr>
            </w:pPr>
          </w:p>
          <w:tbl>
            <w:tblPr>
              <w:tblOverlap w:val="never"/>
              <w:tblW w:w="39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968"/>
            </w:tblGrid>
            <w:tr w:rsidR="00E04285">
              <w:trPr>
                <w:jc w:val="center"/>
              </w:trPr>
              <w:tc>
                <w:tcPr>
                  <w:tcW w:w="39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A937D7">
                  <w:pPr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t>Н.И. Данилова</w:t>
                  </w: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</w:tr>
      <w:tr w:rsidR="00E04285">
        <w:trPr>
          <w:trHeight w:val="453"/>
        </w:trPr>
        <w:tc>
          <w:tcPr>
            <w:tcW w:w="3401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E04285">
        <w:trPr>
          <w:trHeight w:val="230"/>
        </w:trPr>
        <w:tc>
          <w:tcPr>
            <w:tcW w:w="8898" w:type="dxa"/>
            <w:gridSpan w:val="5"/>
            <w:vMerge w:val="restart"/>
            <w:tcBorders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8898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98"/>
            </w:tblGrid>
            <w:tr w:rsidR="00E04285">
              <w:trPr>
                <w:trHeight w:val="230"/>
              </w:trPr>
              <w:tc>
                <w:tcPr>
                  <w:tcW w:w="8898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04285" w:rsidRDefault="00A937D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ДОКУМЕНТ ПОДПИСАН ЭЛЕКТРОННОЙ ПОДПИСЬЮ</w:t>
                  </w:r>
                </w:p>
              </w:tc>
            </w:tr>
            <w:tr w:rsidR="00E04285">
              <w:trPr>
                <w:trHeight w:val="230"/>
              </w:trPr>
              <w:tc>
                <w:tcPr>
                  <w:tcW w:w="8898" w:type="dxa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889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898"/>
                  </w:tblGrid>
                  <w:tr w:rsidR="00E04285">
                    <w:tc>
                      <w:tcPr>
                        <w:tcW w:w="889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04285" w:rsidRDefault="00A937D7">
                        <w:r>
                          <w:rPr>
                            <w:color w:val="000000"/>
                          </w:rPr>
                          <w:t>Сертификат: 7D7B6B0078AAB8BE4406A909E5CA9706</w:t>
                        </w:r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>Владелец: Данилова Наталья Ивановна</w:t>
                        </w:r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>Действителен с 26.06.2019 по 26.06.2020</w:t>
                        </w:r>
                      </w:p>
                      <w:p w:rsidR="00E04285" w:rsidRDefault="00A937D7"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c>
                  </w:tr>
                </w:tbl>
                <w:p w:rsidR="00E04285" w:rsidRDefault="00E04285">
                  <w:pPr>
                    <w:spacing w:line="1" w:lineRule="auto"/>
                  </w:pPr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</w:tr>
      <w:tr w:rsidR="00E04285">
        <w:trPr>
          <w:trHeight w:val="1"/>
        </w:trPr>
        <w:tc>
          <w:tcPr>
            <w:tcW w:w="8898" w:type="dxa"/>
            <w:gridSpan w:val="5"/>
            <w:vMerge/>
            <w:tcBorders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E04285">
            <w:pPr>
              <w:spacing w:line="1" w:lineRule="auto"/>
            </w:pPr>
          </w:p>
        </w:tc>
      </w:tr>
      <w:tr w:rsidR="00E04285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</w:tr>
      <w:tr w:rsidR="00E04285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A937D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6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2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  <w:tc>
          <w:tcPr>
            <w:tcW w:w="39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285" w:rsidRDefault="00E04285">
            <w:pPr>
              <w:spacing w:line="1" w:lineRule="auto"/>
            </w:pPr>
          </w:p>
        </w:tc>
      </w:tr>
      <w:tr w:rsidR="00E04285">
        <w:trPr>
          <w:trHeight w:val="230"/>
        </w:trPr>
        <w:tc>
          <w:tcPr>
            <w:tcW w:w="8898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889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898"/>
            </w:tblGrid>
            <w:tr w:rsidR="00E04285">
              <w:tc>
                <w:tcPr>
                  <w:tcW w:w="889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04285" w:rsidRDefault="00E04285">
                  <w:bookmarkStart w:id="3" w:name="_GoBack"/>
                  <w:bookmarkEnd w:id="3"/>
                </w:p>
              </w:tc>
            </w:tr>
          </w:tbl>
          <w:p w:rsidR="00E04285" w:rsidRDefault="00E04285">
            <w:pPr>
              <w:spacing w:line="1" w:lineRule="auto"/>
            </w:pPr>
          </w:p>
        </w:tc>
      </w:tr>
    </w:tbl>
    <w:p w:rsidR="00A937D7" w:rsidRDefault="00A937D7"/>
    <w:sectPr w:rsidR="00A937D7" w:rsidSect="00E04285">
      <w:headerReference w:type="default" r:id="rId6"/>
      <w:footerReference w:type="default" r:id="rId7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7D7" w:rsidRDefault="00A937D7" w:rsidP="00E04285">
      <w:r>
        <w:separator/>
      </w:r>
    </w:p>
  </w:endnote>
  <w:endnote w:type="continuationSeparator" w:id="0">
    <w:p w:rsidR="00A937D7" w:rsidRDefault="00A937D7" w:rsidP="00E0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4285">
      <w:tc>
        <w:tcPr>
          <w:tcW w:w="10421" w:type="dxa"/>
        </w:tcPr>
        <w:p w:rsidR="00E04285" w:rsidRDefault="00E0428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7D7" w:rsidRDefault="00A937D7" w:rsidP="00E04285">
      <w:r>
        <w:separator/>
      </w:r>
    </w:p>
  </w:footnote>
  <w:footnote w:type="continuationSeparator" w:id="0">
    <w:p w:rsidR="00A937D7" w:rsidRDefault="00A937D7" w:rsidP="00E04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04285">
      <w:tc>
        <w:tcPr>
          <w:tcW w:w="10421" w:type="dxa"/>
        </w:tcPr>
        <w:p w:rsidR="00E04285" w:rsidRDefault="00E0428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285"/>
    <w:rsid w:val="00A937D7"/>
    <w:rsid w:val="00D5498D"/>
    <w:rsid w:val="00E0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AA044-8CFD-4DEC-B5F7-5FA8D994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042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13310</Words>
  <Characters>75871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KiNI</dc:creator>
  <cp:keywords/>
  <dc:description/>
  <cp:lastModifiedBy>KiNI</cp:lastModifiedBy>
  <cp:revision>2</cp:revision>
  <dcterms:created xsi:type="dcterms:W3CDTF">2020-05-15T08:15:00Z</dcterms:created>
  <dcterms:modified xsi:type="dcterms:W3CDTF">2020-05-15T08:15:00Z</dcterms:modified>
</cp:coreProperties>
</file>